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C4E" w:rsidRDefault="00E33C4E" w:rsidP="009B1FD9">
      <w:pPr>
        <w:jc w:val="center"/>
        <w:rPr>
          <w:rFonts w:eastAsiaTheme="majorEastAsia" w:cstheme="minorHAnsi"/>
          <w:b/>
          <w:sz w:val="52"/>
          <w:szCs w:val="32"/>
        </w:rPr>
      </w:pPr>
    </w:p>
    <w:p w:rsidR="00E33C4E" w:rsidRDefault="00E33C4E" w:rsidP="009B1FD9">
      <w:pPr>
        <w:jc w:val="center"/>
        <w:rPr>
          <w:rFonts w:eastAsiaTheme="majorEastAsia" w:cstheme="minorHAnsi"/>
          <w:b/>
          <w:sz w:val="52"/>
          <w:szCs w:val="32"/>
        </w:rPr>
      </w:pPr>
    </w:p>
    <w:p w:rsidR="00E33C4E" w:rsidRDefault="00E33C4E" w:rsidP="009B1FD9">
      <w:pPr>
        <w:jc w:val="center"/>
        <w:rPr>
          <w:rFonts w:eastAsiaTheme="majorEastAsia" w:cstheme="minorHAnsi"/>
          <w:b/>
          <w:sz w:val="52"/>
          <w:szCs w:val="32"/>
        </w:rPr>
      </w:pPr>
    </w:p>
    <w:p w:rsidR="009B1FD9" w:rsidRPr="00157460" w:rsidRDefault="009B1FD9" w:rsidP="009B1FD9">
      <w:pPr>
        <w:jc w:val="center"/>
        <w:rPr>
          <w:sz w:val="32"/>
        </w:rPr>
      </w:pPr>
      <w:r w:rsidRPr="00325350">
        <w:rPr>
          <w:rFonts w:eastAsiaTheme="majorEastAsia" w:cstheme="minorHAnsi"/>
          <w:b/>
          <w:sz w:val="52"/>
          <w:szCs w:val="32"/>
        </w:rPr>
        <w:t>An Update of the Global Entrepreneurship Development Index for Scotland</w:t>
      </w:r>
    </w:p>
    <w:p w:rsidR="008B3F88" w:rsidRDefault="008B3F88"/>
    <w:p w:rsidR="009B1FD9" w:rsidRDefault="009B1FD9"/>
    <w:p w:rsidR="009B1FD9" w:rsidRDefault="00B55F7B" w:rsidP="00B55F7B">
      <w:pPr>
        <w:jc w:val="center"/>
      </w:pPr>
      <w:r>
        <w:t>Professor Jonathan Levie</w:t>
      </w:r>
    </w:p>
    <w:p w:rsidR="00B55F7B" w:rsidRDefault="00B55F7B" w:rsidP="00B55F7B">
      <w:pPr>
        <w:jc w:val="center"/>
      </w:pPr>
      <w:r>
        <w:t>Hunter Centre for Entrepreneurship, Strathclyde Business School</w:t>
      </w:r>
    </w:p>
    <w:p w:rsidR="00B55F7B" w:rsidRDefault="00B55F7B" w:rsidP="00B55F7B">
      <w:pPr>
        <w:jc w:val="center"/>
      </w:pPr>
      <w:r>
        <w:t>Professor Erkko Autio</w:t>
      </w:r>
    </w:p>
    <w:p w:rsidR="00B55F7B" w:rsidRDefault="00B55F7B" w:rsidP="00B55F7B">
      <w:pPr>
        <w:jc w:val="center"/>
      </w:pPr>
      <w:r>
        <w:t>Imperial College London Business School</w:t>
      </w:r>
    </w:p>
    <w:p w:rsidR="00B55F7B" w:rsidRDefault="00B55F7B" w:rsidP="00B55F7B">
      <w:pPr>
        <w:jc w:val="center"/>
      </w:pPr>
      <w:r>
        <w:t>Professor Laszlo Szerb</w:t>
      </w:r>
    </w:p>
    <w:p w:rsidR="00B55F7B" w:rsidRDefault="00B55F7B" w:rsidP="00B55F7B">
      <w:pPr>
        <w:jc w:val="center"/>
      </w:pPr>
      <w:r>
        <w:t>University of Pecs</w:t>
      </w:r>
    </w:p>
    <w:p w:rsidR="00B55F7B" w:rsidRDefault="00B55F7B" w:rsidP="00B55F7B">
      <w:pPr>
        <w:jc w:val="center"/>
      </w:pPr>
    </w:p>
    <w:p w:rsidR="00B55F7B" w:rsidRDefault="00B55F7B" w:rsidP="00B55F7B">
      <w:pPr>
        <w:jc w:val="center"/>
      </w:pPr>
      <w:r>
        <w:t>Final Report</w:t>
      </w:r>
    </w:p>
    <w:p w:rsidR="00B55F7B" w:rsidRDefault="00B55F7B" w:rsidP="00B55F7B">
      <w:pPr>
        <w:jc w:val="center"/>
      </w:pPr>
      <w:r>
        <w:t>17 October 2017</w:t>
      </w:r>
    </w:p>
    <w:p w:rsidR="00B55F7B" w:rsidRDefault="00B55F7B"/>
    <w:p w:rsidR="009B1FD9" w:rsidRDefault="009B1FD9"/>
    <w:p w:rsidR="009B1FD9" w:rsidRDefault="009B1FD9">
      <w:pPr>
        <w:spacing w:after="200" w:line="276" w:lineRule="auto"/>
      </w:pPr>
      <w:r>
        <w:br w:type="page"/>
      </w:r>
    </w:p>
    <w:p w:rsidR="00024C04" w:rsidRPr="00550E6F" w:rsidRDefault="00024C04">
      <w:pPr>
        <w:spacing w:after="200" w:line="276" w:lineRule="auto"/>
        <w:rPr>
          <w:b/>
          <w:sz w:val="28"/>
        </w:rPr>
      </w:pPr>
      <w:r w:rsidRPr="00550E6F">
        <w:rPr>
          <w:b/>
          <w:sz w:val="28"/>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1"/>
        <w:gridCol w:w="697"/>
      </w:tblGrid>
      <w:tr w:rsidR="00024C04" w:rsidTr="00550E6F">
        <w:tc>
          <w:tcPr>
            <w:tcW w:w="8591" w:type="dxa"/>
          </w:tcPr>
          <w:p w:rsidR="00024C04" w:rsidRDefault="00024C04" w:rsidP="00024C04">
            <w:pPr>
              <w:spacing w:after="0" w:line="276" w:lineRule="auto"/>
              <w:rPr>
                <w:b/>
                <w:sz w:val="24"/>
              </w:rPr>
            </w:pPr>
            <w:r>
              <w:rPr>
                <w:b/>
                <w:sz w:val="24"/>
              </w:rPr>
              <w:t>Section title</w:t>
            </w:r>
          </w:p>
        </w:tc>
        <w:tc>
          <w:tcPr>
            <w:tcW w:w="697" w:type="dxa"/>
          </w:tcPr>
          <w:p w:rsidR="00024C04" w:rsidRDefault="00024C04" w:rsidP="00550E6F">
            <w:pPr>
              <w:spacing w:after="0" w:line="276" w:lineRule="auto"/>
              <w:jc w:val="right"/>
              <w:rPr>
                <w:b/>
                <w:sz w:val="24"/>
              </w:rPr>
            </w:pPr>
            <w:r>
              <w:rPr>
                <w:b/>
                <w:sz w:val="24"/>
              </w:rPr>
              <w:t>Page</w:t>
            </w:r>
          </w:p>
        </w:tc>
      </w:tr>
      <w:tr w:rsidR="00024C04" w:rsidTr="00550E6F">
        <w:tc>
          <w:tcPr>
            <w:tcW w:w="8591" w:type="dxa"/>
          </w:tcPr>
          <w:p w:rsidR="00024C04" w:rsidRPr="00550E6F" w:rsidRDefault="00024C04" w:rsidP="00024C04">
            <w:pPr>
              <w:rPr>
                <w:sz w:val="24"/>
              </w:rPr>
            </w:pPr>
            <w:r w:rsidRPr="00550E6F">
              <w:rPr>
                <w:sz w:val="24"/>
              </w:rPr>
              <w:t>Section 1: Introduction and Summary of results</w:t>
            </w:r>
          </w:p>
        </w:tc>
        <w:tc>
          <w:tcPr>
            <w:tcW w:w="697" w:type="dxa"/>
          </w:tcPr>
          <w:p w:rsidR="00024C04" w:rsidRPr="00550E6F" w:rsidRDefault="00024C04" w:rsidP="00550E6F">
            <w:pPr>
              <w:spacing w:after="0" w:line="276" w:lineRule="auto"/>
              <w:jc w:val="right"/>
              <w:rPr>
                <w:sz w:val="24"/>
              </w:rPr>
            </w:pPr>
            <w:r w:rsidRPr="00550E6F">
              <w:rPr>
                <w:sz w:val="24"/>
              </w:rPr>
              <w:t>3</w:t>
            </w:r>
          </w:p>
        </w:tc>
      </w:tr>
      <w:tr w:rsidR="00024C04" w:rsidTr="00550E6F">
        <w:tc>
          <w:tcPr>
            <w:tcW w:w="8591" w:type="dxa"/>
          </w:tcPr>
          <w:p w:rsidR="00024C04" w:rsidRPr="00550E6F" w:rsidRDefault="00024C04" w:rsidP="00024C04">
            <w:pPr>
              <w:rPr>
                <w:sz w:val="24"/>
              </w:rPr>
            </w:pPr>
            <w:r w:rsidRPr="00550E6F">
              <w:rPr>
                <w:sz w:val="24"/>
              </w:rPr>
              <w:t>Section 2: Literature Review</w:t>
            </w:r>
          </w:p>
        </w:tc>
        <w:tc>
          <w:tcPr>
            <w:tcW w:w="697" w:type="dxa"/>
          </w:tcPr>
          <w:p w:rsidR="00024C04" w:rsidRPr="00550E6F" w:rsidRDefault="00024C04" w:rsidP="00550E6F">
            <w:pPr>
              <w:spacing w:after="0" w:line="276" w:lineRule="auto"/>
              <w:jc w:val="right"/>
              <w:rPr>
                <w:sz w:val="24"/>
              </w:rPr>
            </w:pPr>
            <w:r w:rsidRPr="00550E6F">
              <w:rPr>
                <w:sz w:val="24"/>
              </w:rPr>
              <w:t>4</w:t>
            </w:r>
          </w:p>
        </w:tc>
      </w:tr>
      <w:tr w:rsidR="00024C04" w:rsidTr="00550E6F">
        <w:tc>
          <w:tcPr>
            <w:tcW w:w="8591" w:type="dxa"/>
          </w:tcPr>
          <w:p w:rsidR="00024C04" w:rsidRPr="00550E6F" w:rsidRDefault="00024C04" w:rsidP="00024C04">
            <w:pPr>
              <w:spacing w:after="0" w:line="276" w:lineRule="auto"/>
              <w:rPr>
                <w:sz w:val="24"/>
              </w:rPr>
            </w:pPr>
            <w:r w:rsidRPr="00550E6F">
              <w:rPr>
                <w:sz w:val="24"/>
              </w:rPr>
              <w:t>Section 3. Results of the Global Entrepreneurship Development Index update</w:t>
            </w:r>
          </w:p>
        </w:tc>
        <w:tc>
          <w:tcPr>
            <w:tcW w:w="697" w:type="dxa"/>
          </w:tcPr>
          <w:p w:rsidR="00024C04" w:rsidRPr="00550E6F" w:rsidRDefault="00024C04" w:rsidP="00550E6F">
            <w:pPr>
              <w:spacing w:after="0" w:line="276" w:lineRule="auto"/>
              <w:jc w:val="right"/>
              <w:rPr>
                <w:sz w:val="24"/>
              </w:rPr>
            </w:pPr>
            <w:r w:rsidRPr="00550E6F">
              <w:rPr>
                <w:sz w:val="24"/>
              </w:rPr>
              <w:t>8</w:t>
            </w:r>
          </w:p>
        </w:tc>
      </w:tr>
      <w:tr w:rsidR="00024C04" w:rsidTr="00550E6F">
        <w:tc>
          <w:tcPr>
            <w:tcW w:w="8591" w:type="dxa"/>
          </w:tcPr>
          <w:p w:rsidR="00024C04" w:rsidRPr="00550E6F" w:rsidRDefault="00024C04" w:rsidP="00024C04">
            <w:pPr>
              <w:spacing w:after="0" w:line="276" w:lineRule="auto"/>
              <w:rPr>
                <w:sz w:val="24"/>
              </w:rPr>
            </w:pPr>
            <w:r w:rsidRPr="00550E6F">
              <w:rPr>
                <w:sz w:val="24"/>
              </w:rPr>
              <w:t>Section 4. References</w:t>
            </w:r>
          </w:p>
        </w:tc>
        <w:tc>
          <w:tcPr>
            <w:tcW w:w="697" w:type="dxa"/>
          </w:tcPr>
          <w:p w:rsidR="00024C04" w:rsidRPr="00550E6F" w:rsidRDefault="00024C04" w:rsidP="00550E6F">
            <w:pPr>
              <w:spacing w:after="0" w:line="276" w:lineRule="auto"/>
              <w:jc w:val="right"/>
              <w:rPr>
                <w:sz w:val="24"/>
              </w:rPr>
            </w:pPr>
            <w:r w:rsidRPr="00550E6F">
              <w:rPr>
                <w:sz w:val="24"/>
              </w:rPr>
              <w:t>17</w:t>
            </w:r>
          </w:p>
        </w:tc>
      </w:tr>
      <w:tr w:rsidR="00024C04" w:rsidTr="00550E6F">
        <w:tc>
          <w:tcPr>
            <w:tcW w:w="8591" w:type="dxa"/>
          </w:tcPr>
          <w:p w:rsidR="00024C04" w:rsidRPr="00550E6F" w:rsidRDefault="00024C04" w:rsidP="00024C04">
            <w:pPr>
              <w:spacing w:after="0" w:line="276" w:lineRule="auto"/>
              <w:rPr>
                <w:sz w:val="24"/>
              </w:rPr>
            </w:pPr>
            <w:r w:rsidRPr="00550E6F">
              <w:rPr>
                <w:sz w:val="24"/>
              </w:rPr>
              <w:t>Appendix 1. Original versus revised spider diagrams for 2008 to 2011</w:t>
            </w:r>
          </w:p>
        </w:tc>
        <w:tc>
          <w:tcPr>
            <w:tcW w:w="697" w:type="dxa"/>
          </w:tcPr>
          <w:p w:rsidR="00024C04" w:rsidRPr="00550E6F" w:rsidRDefault="00024C04" w:rsidP="00550E6F">
            <w:pPr>
              <w:spacing w:after="0" w:line="276" w:lineRule="auto"/>
              <w:jc w:val="right"/>
              <w:rPr>
                <w:sz w:val="24"/>
              </w:rPr>
            </w:pPr>
            <w:r w:rsidRPr="00550E6F">
              <w:rPr>
                <w:sz w:val="24"/>
              </w:rPr>
              <w:t>18</w:t>
            </w:r>
          </w:p>
        </w:tc>
      </w:tr>
      <w:tr w:rsidR="00024C04" w:rsidTr="00550E6F">
        <w:tc>
          <w:tcPr>
            <w:tcW w:w="8591" w:type="dxa"/>
          </w:tcPr>
          <w:p w:rsidR="00024C04" w:rsidRPr="00550E6F" w:rsidRDefault="00024C04" w:rsidP="00550E6F">
            <w:pPr>
              <w:pStyle w:val="Heading1"/>
              <w:spacing w:before="0" w:line="276" w:lineRule="auto"/>
              <w:outlineLvl w:val="0"/>
              <w:rPr>
                <w:rFonts w:asciiTheme="minorHAnsi" w:hAnsiTheme="minorHAnsi"/>
                <w:b w:val="0"/>
                <w:color w:val="auto"/>
                <w:sz w:val="24"/>
                <w:szCs w:val="24"/>
              </w:rPr>
            </w:pPr>
            <w:r w:rsidRPr="00550E6F">
              <w:rPr>
                <w:rFonts w:asciiTheme="minorHAnsi" w:hAnsiTheme="minorHAnsi"/>
                <w:b w:val="0"/>
                <w:color w:val="auto"/>
                <w:sz w:val="24"/>
                <w:szCs w:val="24"/>
              </w:rPr>
              <w:t xml:space="preserve">Appendix 2 GEDI Methodology and Calculation of the Scores for Scotland </w:t>
            </w:r>
          </w:p>
        </w:tc>
        <w:tc>
          <w:tcPr>
            <w:tcW w:w="697" w:type="dxa"/>
          </w:tcPr>
          <w:p w:rsidR="00024C04" w:rsidRPr="00550E6F" w:rsidRDefault="00550E6F" w:rsidP="00550E6F">
            <w:pPr>
              <w:spacing w:after="0" w:line="276" w:lineRule="auto"/>
              <w:jc w:val="right"/>
              <w:rPr>
                <w:sz w:val="24"/>
              </w:rPr>
            </w:pPr>
            <w:r w:rsidRPr="00550E6F">
              <w:rPr>
                <w:sz w:val="24"/>
              </w:rPr>
              <w:t>22</w:t>
            </w:r>
          </w:p>
        </w:tc>
      </w:tr>
      <w:tr w:rsidR="00024C04" w:rsidTr="00550E6F">
        <w:tc>
          <w:tcPr>
            <w:tcW w:w="8591" w:type="dxa"/>
          </w:tcPr>
          <w:p w:rsidR="00024C04" w:rsidRPr="00550E6F" w:rsidRDefault="00550E6F" w:rsidP="00024C04">
            <w:pPr>
              <w:spacing w:after="0" w:line="276" w:lineRule="auto"/>
              <w:rPr>
                <w:sz w:val="24"/>
              </w:rPr>
            </w:pPr>
            <w:r w:rsidRPr="00550E6F">
              <w:rPr>
                <w:sz w:val="24"/>
              </w:rPr>
              <w:t xml:space="preserve">     Appendix 2.1 Country sample</w:t>
            </w:r>
          </w:p>
        </w:tc>
        <w:tc>
          <w:tcPr>
            <w:tcW w:w="697" w:type="dxa"/>
          </w:tcPr>
          <w:p w:rsidR="00024C04" w:rsidRPr="00550E6F" w:rsidRDefault="00550E6F" w:rsidP="00550E6F">
            <w:pPr>
              <w:spacing w:after="0" w:line="276" w:lineRule="auto"/>
              <w:jc w:val="right"/>
              <w:rPr>
                <w:sz w:val="24"/>
              </w:rPr>
            </w:pPr>
            <w:r w:rsidRPr="00550E6F">
              <w:rPr>
                <w:sz w:val="24"/>
              </w:rPr>
              <w:t>22</w:t>
            </w:r>
          </w:p>
        </w:tc>
      </w:tr>
      <w:tr w:rsidR="00024C04" w:rsidTr="00550E6F">
        <w:tc>
          <w:tcPr>
            <w:tcW w:w="8591" w:type="dxa"/>
          </w:tcPr>
          <w:p w:rsidR="00024C04" w:rsidRPr="00550E6F" w:rsidRDefault="00550E6F" w:rsidP="00024C04">
            <w:pPr>
              <w:spacing w:after="0" w:line="276" w:lineRule="auto"/>
              <w:rPr>
                <w:sz w:val="24"/>
              </w:rPr>
            </w:pPr>
            <w:r w:rsidRPr="00550E6F">
              <w:rPr>
                <w:sz w:val="24"/>
              </w:rPr>
              <w:t xml:space="preserve">     Appendix 2.2 Methodology</w:t>
            </w:r>
          </w:p>
        </w:tc>
        <w:tc>
          <w:tcPr>
            <w:tcW w:w="697" w:type="dxa"/>
          </w:tcPr>
          <w:p w:rsidR="00024C04" w:rsidRPr="00550E6F" w:rsidRDefault="00550E6F" w:rsidP="00550E6F">
            <w:pPr>
              <w:spacing w:after="0" w:line="276" w:lineRule="auto"/>
              <w:jc w:val="right"/>
              <w:rPr>
                <w:sz w:val="24"/>
              </w:rPr>
            </w:pPr>
            <w:r w:rsidRPr="00550E6F">
              <w:rPr>
                <w:sz w:val="24"/>
              </w:rPr>
              <w:t>23</w:t>
            </w:r>
          </w:p>
        </w:tc>
      </w:tr>
      <w:tr w:rsidR="00024C04" w:rsidTr="00550E6F">
        <w:tc>
          <w:tcPr>
            <w:tcW w:w="8591" w:type="dxa"/>
          </w:tcPr>
          <w:p w:rsidR="00024C04" w:rsidRPr="00550E6F" w:rsidRDefault="00550E6F" w:rsidP="00024C04">
            <w:pPr>
              <w:spacing w:after="0" w:line="276" w:lineRule="auto"/>
              <w:rPr>
                <w:sz w:val="24"/>
              </w:rPr>
            </w:pPr>
            <w:r w:rsidRPr="00550E6F">
              <w:rPr>
                <w:sz w:val="24"/>
              </w:rPr>
              <w:t xml:space="preserve">     Appendix 2.3 Calculation of the Individual and Institutional variables scores</w:t>
            </w:r>
          </w:p>
        </w:tc>
        <w:tc>
          <w:tcPr>
            <w:tcW w:w="697" w:type="dxa"/>
          </w:tcPr>
          <w:p w:rsidR="00024C04" w:rsidRPr="00550E6F" w:rsidRDefault="00550E6F" w:rsidP="00550E6F">
            <w:pPr>
              <w:spacing w:after="0" w:line="276" w:lineRule="auto"/>
              <w:jc w:val="right"/>
              <w:rPr>
                <w:sz w:val="24"/>
              </w:rPr>
            </w:pPr>
            <w:r w:rsidRPr="00550E6F">
              <w:rPr>
                <w:sz w:val="24"/>
              </w:rPr>
              <w:t>28</w:t>
            </w:r>
          </w:p>
        </w:tc>
      </w:tr>
      <w:tr w:rsidR="00024C04" w:rsidTr="00550E6F">
        <w:tc>
          <w:tcPr>
            <w:tcW w:w="8591" w:type="dxa"/>
          </w:tcPr>
          <w:p w:rsidR="00024C04" w:rsidRPr="00550E6F" w:rsidRDefault="00550E6F" w:rsidP="00550E6F">
            <w:pPr>
              <w:spacing w:after="0" w:line="276" w:lineRule="auto"/>
              <w:rPr>
                <w:sz w:val="24"/>
              </w:rPr>
            </w:pPr>
            <w:r w:rsidRPr="00550E6F">
              <w:rPr>
                <w:sz w:val="24"/>
              </w:rPr>
              <w:t xml:space="preserve">     Appendix 2.4.  </w:t>
            </w:r>
            <w:r>
              <w:rPr>
                <w:sz w:val="24"/>
              </w:rPr>
              <w:t>D</w:t>
            </w:r>
            <w:r w:rsidRPr="00550E6F">
              <w:rPr>
                <w:sz w:val="24"/>
              </w:rPr>
              <w:t>escription of the individual variables used in the GEDI</w:t>
            </w:r>
          </w:p>
        </w:tc>
        <w:tc>
          <w:tcPr>
            <w:tcW w:w="697" w:type="dxa"/>
          </w:tcPr>
          <w:p w:rsidR="00024C04" w:rsidRPr="00550E6F" w:rsidRDefault="00550E6F" w:rsidP="00550E6F">
            <w:pPr>
              <w:spacing w:after="0" w:line="276" w:lineRule="auto"/>
              <w:jc w:val="right"/>
              <w:rPr>
                <w:sz w:val="24"/>
              </w:rPr>
            </w:pPr>
            <w:r w:rsidRPr="00550E6F">
              <w:rPr>
                <w:sz w:val="24"/>
              </w:rPr>
              <w:t>30</w:t>
            </w:r>
          </w:p>
        </w:tc>
      </w:tr>
      <w:tr w:rsidR="00024C04" w:rsidTr="00550E6F">
        <w:tc>
          <w:tcPr>
            <w:tcW w:w="8591" w:type="dxa"/>
          </w:tcPr>
          <w:p w:rsidR="00024C04" w:rsidRPr="00550E6F" w:rsidRDefault="00550E6F" w:rsidP="00550E6F">
            <w:pPr>
              <w:spacing w:after="0" w:line="276" w:lineRule="auto"/>
              <w:rPr>
                <w:sz w:val="24"/>
              </w:rPr>
            </w:pPr>
            <w:r w:rsidRPr="00550E6F">
              <w:rPr>
                <w:sz w:val="24"/>
              </w:rPr>
              <w:t xml:space="preserve">     Appendix 2.5 </w:t>
            </w:r>
            <w:r>
              <w:rPr>
                <w:sz w:val="24"/>
              </w:rPr>
              <w:t>D</w:t>
            </w:r>
            <w:r w:rsidRPr="00550E6F">
              <w:rPr>
                <w:sz w:val="24"/>
              </w:rPr>
              <w:t>escription and source of the institutional variables used in the GEDI</w:t>
            </w:r>
          </w:p>
        </w:tc>
        <w:tc>
          <w:tcPr>
            <w:tcW w:w="697" w:type="dxa"/>
          </w:tcPr>
          <w:p w:rsidR="00024C04" w:rsidRPr="00550E6F" w:rsidRDefault="00550E6F" w:rsidP="00550E6F">
            <w:pPr>
              <w:spacing w:after="0" w:line="276" w:lineRule="auto"/>
              <w:jc w:val="right"/>
              <w:rPr>
                <w:sz w:val="24"/>
              </w:rPr>
            </w:pPr>
            <w:r w:rsidRPr="00550E6F">
              <w:rPr>
                <w:sz w:val="24"/>
              </w:rPr>
              <w:t>31</w:t>
            </w:r>
          </w:p>
        </w:tc>
      </w:tr>
      <w:tr w:rsidR="00024C04" w:rsidTr="00550E6F">
        <w:tc>
          <w:tcPr>
            <w:tcW w:w="8591" w:type="dxa"/>
          </w:tcPr>
          <w:p w:rsidR="00024C04" w:rsidRDefault="00024C04" w:rsidP="00024C04">
            <w:pPr>
              <w:spacing w:after="0" w:line="276" w:lineRule="auto"/>
              <w:rPr>
                <w:b/>
                <w:sz w:val="24"/>
              </w:rPr>
            </w:pPr>
          </w:p>
        </w:tc>
        <w:tc>
          <w:tcPr>
            <w:tcW w:w="697" w:type="dxa"/>
          </w:tcPr>
          <w:p w:rsidR="00024C04" w:rsidRDefault="00024C04" w:rsidP="00024C04">
            <w:pPr>
              <w:spacing w:after="0" w:line="276" w:lineRule="auto"/>
              <w:rPr>
                <w:b/>
                <w:sz w:val="24"/>
              </w:rPr>
            </w:pPr>
          </w:p>
        </w:tc>
      </w:tr>
      <w:tr w:rsidR="00024C04" w:rsidTr="00550E6F">
        <w:tc>
          <w:tcPr>
            <w:tcW w:w="8591" w:type="dxa"/>
          </w:tcPr>
          <w:p w:rsidR="00024C04" w:rsidRDefault="00024C04" w:rsidP="00024C04">
            <w:pPr>
              <w:spacing w:after="0" w:line="276" w:lineRule="auto"/>
              <w:rPr>
                <w:b/>
                <w:sz w:val="24"/>
              </w:rPr>
            </w:pPr>
          </w:p>
        </w:tc>
        <w:tc>
          <w:tcPr>
            <w:tcW w:w="697" w:type="dxa"/>
          </w:tcPr>
          <w:p w:rsidR="00024C04" w:rsidRDefault="00024C04" w:rsidP="00024C04">
            <w:pPr>
              <w:spacing w:after="0" w:line="276" w:lineRule="auto"/>
              <w:rPr>
                <w:b/>
                <w:sz w:val="24"/>
              </w:rPr>
            </w:pPr>
          </w:p>
        </w:tc>
      </w:tr>
      <w:tr w:rsidR="00024C04" w:rsidTr="00550E6F">
        <w:tc>
          <w:tcPr>
            <w:tcW w:w="8591" w:type="dxa"/>
          </w:tcPr>
          <w:p w:rsidR="00024C04" w:rsidRDefault="00024C04" w:rsidP="00024C04">
            <w:pPr>
              <w:spacing w:after="0" w:line="276" w:lineRule="auto"/>
              <w:rPr>
                <w:b/>
                <w:sz w:val="24"/>
              </w:rPr>
            </w:pPr>
          </w:p>
        </w:tc>
        <w:tc>
          <w:tcPr>
            <w:tcW w:w="697" w:type="dxa"/>
          </w:tcPr>
          <w:p w:rsidR="00024C04" w:rsidRDefault="00024C04" w:rsidP="00024C04">
            <w:pPr>
              <w:spacing w:after="0" w:line="276" w:lineRule="auto"/>
              <w:rPr>
                <w:b/>
                <w:sz w:val="24"/>
              </w:rPr>
            </w:pPr>
          </w:p>
        </w:tc>
      </w:tr>
    </w:tbl>
    <w:p w:rsidR="00024C04" w:rsidRDefault="00024C04">
      <w:pPr>
        <w:spacing w:after="200" w:line="276" w:lineRule="auto"/>
        <w:rPr>
          <w:b/>
          <w:sz w:val="24"/>
        </w:rPr>
      </w:pPr>
      <w:r>
        <w:rPr>
          <w:b/>
          <w:sz w:val="24"/>
        </w:rPr>
        <w:br w:type="page"/>
      </w:r>
    </w:p>
    <w:p w:rsidR="009B1FD9" w:rsidRPr="00E33C4E" w:rsidRDefault="000523C7">
      <w:pPr>
        <w:rPr>
          <w:b/>
          <w:sz w:val="24"/>
        </w:rPr>
      </w:pPr>
      <w:r w:rsidRPr="00E33C4E">
        <w:rPr>
          <w:b/>
          <w:sz w:val="24"/>
        </w:rPr>
        <w:t xml:space="preserve">Section 1: </w:t>
      </w:r>
      <w:r w:rsidR="009B1FD9" w:rsidRPr="00E33C4E">
        <w:rPr>
          <w:b/>
          <w:sz w:val="24"/>
        </w:rPr>
        <w:t>Introduction</w:t>
      </w:r>
      <w:r w:rsidRPr="00E33C4E">
        <w:rPr>
          <w:b/>
          <w:sz w:val="24"/>
        </w:rPr>
        <w:t xml:space="preserve"> and Summary of results</w:t>
      </w:r>
    </w:p>
    <w:p w:rsidR="009B1FD9" w:rsidRDefault="009B1FD9" w:rsidP="009B1FD9">
      <w:r>
        <w:t xml:space="preserve">This report presents a short literature review on </w:t>
      </w:r>
      <w:r w:rsidRPr="009B1FD9">
        <w:t>academic work on entrepreneurial ecosystems since the first REAP Scotland report</w:t>
      </w:r>
      <w:r>
        <w:t xml:space="preserve"> followed by the results of an update of the </w:t>
      </w:r>
      <w:r w:rsidRPr="009B1FD9">
        <w:t>Global Entrepreneurship Development Index for Scotland</w:t>
      </w:r>
      <w:r>
        <w:t xml:space="preserve"> originally conducted in 2012. A small number of measures used in the original index have been revised because data is no longer available. The periods compared are 2008 to 2011 and 2012 to 2015</w:t>
      </w:r>
      <w:r w:rsidR="00066A03">
        <w:t xml:space="preserve"> and the data used are comparable for these periods</w:t>
      </w:r>
      <w:r>
        <w:t xml:space="preserve">. </w:t>
      </w:r>
    </w:p>
    <w:p w:rsidR="004540F4" w:rsidRDefault="009B1FD9" w:rsidP="009B1FD9">
      <w:r>
        <w:t xml:space="preserve">The literature review demonstrates that significant advances have been made in our understanding of what makes contemporary entrepreneurial ecosystems work. Scotland-based academics have made significant contributions to this literature. </w:t>
      </w:r>
      <w:r w:rsidR="004540F4">
        <w:t>Major areas of focus in the literature include information exchange between entrepreneurs in the ecosystem, digitization, job creation and management of entrepreneurial ecosystems.</w:t>
      </w:r>
    </w:p>
    <w:p w:rsidR="007A4EEE" w:rsidRDefault="009B1FD9" w:rsidP="009B1FD9">
      <w:r>
        <w:t xml:space="preserve">The index update shows that between the first period and the second period, Scotland’s GEDI profile </w:t>
      </w:r>
      <w:r w:rsidR="00EB7D89">
        <w:t xml:space="preserve">improved </w:t>
      </w:r>
      <w:r w:rsidR="004540F4">
        <w:t xml:space="preserve">both absolutely and relative to benchmark nations. </w:t>
      </w:r>
      <w:r w:rsidR="00420C16">
        <w:t>If it were a nation state, it would rank 5</w:t>
      </w:r>
      <w:r w:rsidR="00420C16" w:rsidRPr="007A4EEE">
        <w:rPr>
          <w:vertAlign w:val="superscript"/>
        </w:rPr>
        <w:t>th</w:t>
      </w:r>
      <w:r w:rsidR="00420C16">
        <w:t xml:space="preserve"> </w:t>
      </w:r>
      <w:r w:rsidR="00420C16">
        <w:t>when included with</w:t>
      </w:r>
      <w:r w:rsidR="00420C16">
        <w:t xml:space="preserve"> 2</w:t>
      </w:r>
      <w:r w:rsidR="00420C16">
        <w:t>8</w:t>
      </w:r>
      <w:r w:rsidR="00420C16">
        <w:t xml:space="preserve"> innovation-driven nations on the GEDI index for the 2012 to 2015 period, comfortably within the upper quartile.</w:t>
      </w:r>
      <w:r w:rsidR="00420C16" w:rsidRPr="00066A03">
        <w:t xml:space="preserve"> </w:t>
      </w:r>
      <w:r w:rsidR="00420C16">
        <w:t xml:space="preserve">This is a rise from number 12 for the 2008 to 2011 period. </w:t>
      </w:r>
      <w:r w:rsidR="004540F4">
        <w:t>Scotland’s weakest pillars improved significantly, resulting in a</w:t>
      </w:r>
      <w:r w:rsidR="007A4EEE">
        <w:t xml:space="preserve"> </w:t>
      </w:r>
      <w:r w:rsidR="00EB7D89">
        <w:t>more</w:t>
      </w:r>
      <w:r>
        <w:t xml:space="preserve"> rounded</w:t>
      </w:r>
      <w:r w:rsidR="004540F4">
        <w:t xml:space="preserve"> profile</w:t>
      </w:r>
      <w:r>
        <w:t>, w</w:t>
      </w:r>
      <w:r w:rsidR="00EB7D89">
        <w:t xml:space="preserve">ith no </w:t>
      </w:r>
      <w:r w:rsidR="004540F4">
        <w:t>obvious</w:t>
      </w:r>
      <w:r>
        <w:t xml:space="preserve"> bottlenecks </w:t>
      </w:r>
      <w:r w:rsidR="00EB7D89">
        <w:t>visible</w:t>
      </w:r>
      <w:r>
        <w:t xml:space="preserve">. </w:t>
      </w:r>
      <w:r w:rsidR="004540F4">
        <w:t>In fact, Scotland’s profile was mo</w:t>
      </w:r>
      <w:r w:rsidR="00420C16">
        <w:t>re</w:t>
      </w:r>
      <w:r w:rsidR="004540F4">
        <w:t xml:space="preserve"> balanced </w:t>
      </w:r>
      <w:r w:rsidR="00420C16">
        <w:t>than</w:t>
      </w:r>
      <w:r w:rsidR="004540F4">
        <w:t xml:space="preserve"> any of the 28 innovation-driven (developed) countries in the sample, just ahead of the United States. </w:t>
      </w:r>
      <w:r>
        <w:t xml:space="preserve">As a result, the GEDI methodology </w:t>
      </w:r>
      <w:r w:rsidR="007A4EEE">
        <w:t>may be less accurate</w:t>
      </w:r>
      <w:r>
        <w:t xml:space="preserve"> as an identifier of weaknesses in </w:t>
      </w:r>
      <w:r w:rsidR="00420C16">
        <w:t>Scotland’s entrepreneurial</w:t>
      </w:r>
      <w:r>
        <w:t xml:space="preserve"> </w:t>
      </w:r>
      <w:r w:rsidR="00420C16">
        <w:t>eco</w:t>
      </w:r>
      <w:r>
        <w:t>system</w:t>
      </w:r>
      <w:r w:rsidR="007A4EEE">
        <w:t xml:space="preserve"> for the second period</w:t>
      </w:r>
      <w:r>
        <w:t xml:space="preserve">. </w:t>
      </w:r>
      <w:r w:rsidR="00EF0034">
        <w:t>This should be borne in mind when considering the results of the</w:t>
      </w:r>
      <w:r w:rsidR="007A4EEE">
        <w:t xml:space="preserve"> sensitivity analysis</w:t>
      </w:r>
      <w:r w:rsidR="00EF0034">
        <w:t>. This</w:t>
      </w:r>
      <w:r w:rsidR="007A4EEE">
        <w:t xml:space="preserve"> suggested that the main points of </w:t>
      </w:r>
      <w:r w:rsidR="004540F4">
        <w:t xml:space="preserve">absolute </w:t>
      </w:r>
      <w:r w:rsidR="007A4EEE">
        <w:t>weakness in the second period</w:t>
      </w:r>
      <w:r w:rsidR="004540F4">
        <w:t xml:space="preserve">, to which around half of any additional policy effort should be directed, </w:t>
      </w:r>
      <w:r w:rsidR="007A4EEE">
        <w:t>were Risk Capital, High Growth and Internationalization.</w:t>
      </w:r>
    </w:p>
    <w:p w:rsidR="009B1FD9" w:rsidRDefault="00066A03" w:rsidP="009B1FD9">
      <w:r>
        <w:t>T</w:t>
      </w:r>
      <w:r w:rsidR="007A4EEE">
        <w:t xml:space="preserve">he </w:t>
      </w:r>
      <w:r w:rsidR="000523C7">
        <w:t xml:space="preserve">updated </w:t>
      </w:r>
      <w:r w:rsidR="007A4EEE">
        <w:t xml:space="preserve">GEDI analysis suggests that as a whole, the Scottish entrepreneurial ecosystem is remarkably healthy. </w:t>
      </w:r>
      <w:r>
        <w:t>Some caution is necessary in attributing this improvement to work done by the REAP project, since the REAP actions began halfway through the second data collection period.</w:t>
      </w:r>
      <w:r w:rsidR="00895C1D">
        <w:t xml:space="preserve"> Secondly, the literature review suggests that consideration be given to examining sub-national ecosystems. It is likely that the health of and issues facing the entrepreneurial ecosystems of Scotland’s major cities and rural regions differ considerably.</w:t>
      </w:r>
    </w:p>
    <w:p w:rsidR="000523C7" w:rsidRDefault="000523C7" w:rsidP="009B1FD9"/>
    <w:p w:rsidR="000523C7" w:rsidRDefault="000523C7">
      <w:pPr>
        <w:spacing w:after="200" w:line="276" w:lineRule="auto"/>
      </w:pPr>
      <w:r>
        <w:br w:type="page"/>
      </w:r>
    </w:p>
    <w:p w:rsidR="000523C7" w:rsidRPr="00E33C4E" w:rsidRDefault="000523C7" w:rsidP="009B1FD9">
      <w:pPr>
        <w:rPr>
          <w:b/>
          <w:sz w:val="24"/>
        </w:rPr>
      </w:pPr>
      <w:r w:rsidRPr="00E33C4E">
        <w:rPr>
          <w:b/>
          <w:sz w:val="24"/>
        </w:rPr>
        <w:t>Section 2: Literature Review</w:t>
      </w:r>
    </w:p>
    <w:p w:rsidR="00506165" w:rsidRPr="00813584" w:rsidRDefault="00506165" w:rsidP="00506165">
      <w:pPr>
        <w:rPr>
          <w:b/>
        </w:rPr>
      </w:pPr>
      <w:r w:rsidRPr="00813584">
        <w:rPr>
          <w:b/>
        </w:rPr>
        <w:t>Introduction</w:t>
      </w:r>
    </w:p>
    <w:p w:rsidR="00506165" w:rsidRDefault="00506165" w:rsidP="00506165">
      <w:r>
        <w:t xml:space="preserve">The past three years have seen an explosion of academic interest in entrepreneurial ecosystems, and academics based in Scotland have made significant contributions to this literature (e.g. Mason and Brown, 2014; Bock and Johnson, 2015; </w:t>
      </w:r>
      <w:proofErr w:type="spellStart"/>
      <w:r>
        <w:t>Spigel</w:t>
      </w:r>
      <w:proofErr w:type="spellEnd"/>
      <w:r>
        <w:t xml:space="preserve">, 2015, 2016, 2017; Autio and Levie, 2017; </w:t>
      </w:r>
      <w:proofErr w:type="spellStart"/>
      <w:r>
        <w:t>Spigel</w:t>
      </w:r>
      <w:proofErr w:type="spellEnd"/>
      <w:r>
        <w:t xml:space="preserve"> and Harrison, 2018). </w:t>
      </w:r>
    </w:p>
    <w:p w:rsidR="00813584" w:rsidRDefault="00506165" w:rsidP="00506165">
      <w:r>
        <w:t xml:space="preserve">Academics have begun to document what sets entrepreneurial ecosystems apart from traditional industry clusters or innovation systems (Autio et al., 2018). These include a focus on individuals rather than structures; a focus on opportunity pursuit, especially in relation to the potential for new business activity as a result of digital technologies (“digital affordances”) and markets beyond the ecosystem, rather than on the accumulation of physical resources or vertical supply chains, and on the sharing of new business models and how to run them by entrepreneurs with each other. Unlike in traditional clusters or innovation systems, this knowledge exchange is horizontal, i.e. cross-industry, rather than vertical. </w:t>
      </w:r>
    </w:p>
    <w:p w:rsidR="00506165" w:rsidRDefault="00506165" w:rsidP="00506165">
      <w:r>
        <w:t>Despite being driven by digital affordances which are global in nature, healthy ecosystems tend to have emerged in urban settings or in distinct travel-to-work regions. These provide “spatial affordances” – the potential of physical proximity to enable face to face interaction. It is this combination of global digital and regional spatial affordances that has resulted in the emergence of distinctive regional entrepreneurial ecosystems in the 21st century. Of course, affordances are just that – they create a potential to discover novel value-creating business models but potential often remains unrealised. One of the challenges for researchers is to understand why digital and spatial affordances unlock waves of new value creation in some regions and not in others.</w:t>
      </w:r>
    </w:p>
    <w:p w:rsidR="00506165" w:rsidRDefault="00506165" w:rsidP="00506165">
      <w:r>
        <w:t xml:space="preserve">Not all academics have adopted this view of entrepreneurial ecosystems. For example, </w:t>
      </w:r>
      <w:r w:rsidR="00EF0034">
        <w:t>some define</w:t>
      </w:r>
      <w:r>
        <w:t xml:space="preserve"> </w:t>
      </w:r>
      <w:r w:rsidR="00EF0034">
        <w:t xml:space="preserve">entrepreneurial ecosystems </w:t>
      </w:r>
      <w:r>
        <w:t xml:space="preserve">more narrowly as descriptors of a novel industry evolving from and around a single university (e.g. Bock and Johnson, 2015), a single industry cluster (Mason and Brown, 2014) or </w:t>
      </w:r>
      <w:r w:rsidR="00EF0034">
        <w:t xml:space="preserve">more </w:t>
      </w:r>
      <w:r>
        <w:t>widely as national systems of entrepreneurship (e.g. Acs et al., 2014). However, the direction of travel appears to be towards a regional, cross-industry level of analysis</w:t>
      </w:r>
      <w:r w:rsidR="00EF0034">
        <w:t>, while recognising that small nations may have nation-wide ecosystems</w:t>
      </w:r>
      <w:r>
        <w:t>. It is this approach that we focus on here.</w:t>
      </w:r>
    </w:p>
    <w:p w:rsidR="00506165" w:rsidRPr="00813584" w:rsidRDefault="00506165" w:rsidP="00506165">
      <w:pPr>
        <w:rPr>
          <w:b/>
        </w:rPr>
      </w:pPr>
      <w:r w:rsidRPr="00813584">
        <w:rPr>
          <w:b/>
        </w:rPr>
        <w:t>Information exchange</w:t>
      </w:r>
    </w:p>
    <w:p w:rsidR="00506165" w:rsidRDefault="00506165" w:rsidP="00506165">
      <w:r>
        <w:t>A notable feature of thriving entrepreneurial ecosystems seems to be the emergence of mechanisms for repeated exchange between entrepreneurs from multiple industries who might not otherwise exchange information (</w:t>
      </w:r>
      <w:proofErr w:type="spellStart"/>
      <w:r>
        <w:t>Spigel</w:t>
      </w:r>
      <w:proofErr w:type="spellEnd"/>
      <w:r>
        <w:t xml:space="preserve"> and Harrison, 2018; Autio et al, 2018).  The importance of horizontal knowledge exchange for healthy entrepreneurial ecosystems makes the emergence of such ecosystems in sparsely populated regions and in single industry regions a more challenging prospect. Furthermore, the emergence of entrepreneurial ecosystems is not inevitable, even in city regions with a strong sense of place. </w:t>
      </w:r>
      <w:proofErr w:type="spellStart"/>
      <w:r>
        <w:t>Spigel</w:t>
      </w:r>
      <w:proofErr w:type="spellEnd"/>
      <w:r>
        <w:t xml:space="preserve"> and Harrison (2018) note that Aberdeen and Calgary, both predominantly single industry oil and gas cities, have high rates of entrepreneurial activity but entrepreneurs in these cities have reduced opportunities to learn from each other because of intra-industry rivalry. Both cities are heavily reliant on global oil prices and local reserves. Based on 37 interviews with growth-oriented entrepreneurs, </w:t>
      </w:r>
      <w:proofErr w:type="spellStart"/>
      <w:r>
        <w:t>Spigel</w:t>
      </w:r>
      <w:proofErr w:type="spellEnd"/>
      <w:r>
        <w:t xml:space="preserve"> (2017) has also noted recently that in one thriving city-based entrepreneurial ecosystem (Edinburgh), there were organised opportunities for entrepreneurs to meet each other on most days of the week. Yet, just 35 miles away, in the city of Glasgow, such opportunities seemed much more limited and entrepreneurs appeared to be less interested in such interaction. </w:t>
      </w:r>
    </w:p>
    <w:p w:rsidR="00506165" w:rsidRDefault="00506165" w:rsidP="00506165">
      <w:r>
        <w:t>Interaction between entrepreneurs is vital to the continual emergence of viable growing new businesses because it is through interaction that new business models are discovered, refined and disseminated. However, external resources are also needed if entrepreneurs are to convert their business models into value-creating organisations. Critical resource providers identified in the literature include investors, mentors and skilled workers (</w:t>
      </w:r>
      <w:proofErr w:type="spellStart"/>
      <w:r>
        <w:t>Spigel</w:t>
      </w:r>
      <w:proofErr w:type="spellEnd"/>
      <w:r>
        <w:t xml:space="preserve">, 2017). Thriving ecosystems also facilitate interactions between entrepreneurs and resource providers. </w:t>
      </w:r>
    </w:p>
    <w:p w:rsidR="00506165" w:rsidRPr="00813584" w:rsidRDefault="00506165" w:rsidP="00506165">
      <w:pPr>
        <w:rPr>
          <w:b/>
        </w:rPr>
      </w:pPr>
      <w:r w:rsidRPr="00813584">
        <w:rPr>
          <w:b/>
        </w:rPr>
        <w:t>Digitization</w:t>
      </w:r>
    </w:p>
    <w:p w:rsidR="001A30C1" w:rsidRDefault="00506165" w:rsidP="00506165">
      <w:r>
        <w:t>Digitization is a key enabler of entrepreneurial ecosystems at a number of levels (Autio et al, 201</w:t>
      </w:r>
      <w:r w:rsidR="001A30C1">
        <w:t>8</w:t>
      </w:r>
      <w:r>
        <w:t xml:space="preserve">). First, digitization enables the potential for new business model creation that has been made possible by the doubling of computer </w:t>
      </w:r>
      <w:r w:rsidR="00EF0034">
        <w:t xml:space="preserve">processing </w:t>
      </w:r>
      <w:r>
        <w:t xml:space="preserve">power every 18 months or so (Moore’s Law), which is a global phenomenon. This global phenomenon also enables value capture by a small number of rapidly scaling entrepreneurial ventures. Second, digitization rapidly spreads awareness of new business models. Digitization of resource provision </w:t>
      </w:r>
      <w:r w:rsidR="00B61E55">
        <w:t>widen</w:t>
      </w:r>
      <w:r>
        <w:t xml:space="preserve">s the distribution of </w:t>
      </w:r>
      <w:proofErr w:type="spellStart"/>
      <w:r>
        <w:t>codifiable</w:t>
      </w:r>
      <w:proofErr w:type="spellEnd"/>
      <w:r>
        <w:t xml:space="preserve"> information across more individuals, reducing the scope for local monopolies. It is therefore increasing the pace of change in business models, requiring entrepreneurs to keep connected to the sources of new business model creation – other entrepreneurs - and pick up analogue signals before they become digital.  Entrepreneurial ecosystems, therefore, provide the physical means for entrepreneurs to learn information before it becomes digitised and widely available. </w:t>
      </w:r>
    </w:p>
    <w:p w:rsidR="00506165" w:rsidRDefault="00506165" w:rsidP="00506165">
      <w:r>
        <w:t>Knowledge of how to operate these new business models is also typically tacit and therefore difficult to digitize. Successful operation of new business models requires a range of new, relatively rare and constantly evolving digital skills. It is also, at least currently, not possible to digitally replicate human creativity and inspiration.</w:t>
      </w:r>
      <w:r w:rsidR="001A30C1">
        <w:t xml:space="preserve"> While digitization has reduced the cost of interaction between individuals located at a distance from each other, t</w:t>
      </w:r>
      <w:r w:rsidR="00813584" w:rsidRPr="00813584">
        <w:t xml:space="preserve">he quality of </w:t>
      </w:r>
      <w:r w:rsidR="001A30C1">
        <w:t>interaction and</w:t>
      </w:r>
      <w:r w:rsidR="00813584" w:rsidRPr="00813584">
        <w:t xml:space="preserve"> knowledge spill-overs </w:t>
      </w:r>
      <w:r w:rsidR="001A30C1">
        <w:t>between two individuals still tends to</w:t>
      </w:r>
      <w:r w:rsidR="00813584" w:rsidRPr="00813584">
        <w:t xml:space="preserve"> decay</w:t>
      </w:r>
      <w:r w:rsidR="001A30C1">
        <w:t xml:space="preserve"> as the</w:t>
      </w:r>
      <w:r w:rsidR="00813584" w:rsidRPr="00813584">
        <w:t xml:space="preserve"> distance </w:t>
      </w:r>
      <w:r w:rsidR="001A30C1">
        <w:t>between them increases</w:t>
      </w:r>
      <w:r w:rsidR="00813584" w:rsidRPr="00813584">
        <w:t xml:space="preserve">. </w:t>
      </w:r>
      <w:r>
        <w:t xml:space="preserve">This is why person-to-person interaction is still vital to value creation in entrepreneurial ecosystems in a digital age and why </w:t>
      </w:r>
      <w:r w:rsidR="00813584">
        <w:t>spatially-bound</w:t>
      </w:r>
      <w:r>
        <w:t xml:space="preserve"> entrepreneurial ecosystems evolve where digital and spatial affordances intersect.  In summary then, healthy entrepreneurial ecosystems emerge from a combination of two complementary affordances: digital and spatial.</w:t>
      </w:r>
    </w:p>
    <w:p w:rsidR="00506165" w:rsidRDefault="00506165" w:rsidP="00506165">
      <w:r>
        <w:t>While digitization is widening access to virtual resources for entrepreneurs in locations where resources are sparse, large and dense ecosystems still have stronger pulling power</w:t>
      </w:r>
      <w:r w:rsidR="00B61E55">
        <w:t>. This is</w:t>
      </w:r>
      <w:r>
        <w:t xml:space="preserve"> because they provide more opportunities for entrepreneurs to learn new business models through analogue channels and more opportunities to resource providers to fish in a large but well-defined pond for opportunity capture by non-digital means, such as participating </w:t>
      </w:r>
      <w:r w:rsidR="00B61E55">
        <w:t xml:space="preserve">regularly </w:t>
      </w:r>
      <w:r>
        <w:t>in well-managed city-based physical networks of individuals who meet face-to-face. The physical presence of multiple resource providers sucks in entrepreneurs, who value a market for entrepreneurial resources in addition to the opportunity to learn from many other entrepreneurs. Virtuous and “sticky” resource cycles evolve in such spaces.  For example, talented individuals who are not entrepreneurs feel able to join young ventures because of the presence of alternative employment opportunities within commuting distance should their chosen venture not s</w:t>
      </w:r>
      <w:r w:rsidR="00B61E55">
        <w:t xml:space="preserve">ucceed.  Entrepreneurs who exit then proceed to </w:t>
      </w:r>
      <w:r>
        <w:t>reinvest in and inspire their local ecosystem as business angels, mentors and serial entrepreneurs</w:t>
      </w:r>
      <w:r w:rsidR="00B61E55">
        <w:t>,</w:t>
      </w:r>
      <w:r>
        <w:t xml:space="preserve"> in a process dubbed “entrepreneurial recycling” (Mason and Brown, 2014).  The rapid recent growth and pulling power of entrepreneurial ecosystems in London, Berlin and Paris are examples of this trend.  It is possible though for smaller cities to create a critical mass of networks that together constitute an identifiable ecosystem. Edinburgh, Scotland and Waterloo, Canada, are examples of this (</w:t>
      </w:r>
      <w:proofErr w:type="spellStart"/>
      <w:r>
        <w:t>Spigel</w:t>
      </w:r>
      <w:proofErr w:type="spellEnd"/>
      <w:r>
        <w:t>, 2015; 2016; 2017a</w:t>
      </w:r>
      <w:proofErr w:type="gramStart"/>
      <w:r>
        <w:t>,b</w:t>
      </w:r>
      <w:proofErr w:type="gramEnd"/>
      <w:r>
        <w:t xml:space="preserve">). </w:t>
      </w:r>
    </w:p>
    <w:p w:rsidR="00506165" w:rsidRPr="001A30C1" w:rsidRDefault="00506165" w:rsidP="00506165">
      <w:pPr>
        <w:rPr>
          <w:b/>
        </w:rPr>
      </w:pPr>
      <w:r w:rsidRPr="001A30C1">
        <w:rPr>
          <w:b/>
        </w:rPr>
        <w:t>Job creation</w:t>
      </w:r>
    </w:p>
    <w:p w:rsidR="00506165" w:rsidRDefault="00506165" w:rsidP="00506165">
      <w:r>
        <w:t>A lot of recent work on job creation has confirmed the important role of new and young firms, and the skewed distribution of job creation</w:t>
      </w:r>
      <w:r w:rsidR="001A30C1">
        <w:t>.</w:t>
      </w:r>
      <w:r>
        <w:t xml:space="preserve"> </w:t>
      </w:r>
      <w:r w:rsidR="001A30C1">
        <w:t>A</w:t>
      </w:r>
      <w:r>
        <w:t xml:space="preserve"> small number of firms – often smaller than the OECD cut</w:t>
      </w:r>
      <w:r w:rsidR="001A30C1">
        <w:t>-</w:t>
      </w:r>
      <w:r>
        <w:t>off for high growth firms of 10 employees at the start of their growth journey and often relatively young – contribute a</w:t>
      </w:r>
      <w:r w:rsidR="001A30C1">
        <w:t xml:space="preserve"> significant proportion of jobs. However,</w:t>
      </w:r>
      <w:r>
        <w:t xml:space="preserve"> there is also considerable churn and individual size trajectories are typically jagged, with periods of growth followed by periods of consolidation or even decline (</w:t>
      </w:r>
      <w:r w:rsidR="001A30C1">
        <w:t xml:space="preserve">see </w:t>
      </w:r>
      <w:r>
        <w:t xml:space="preserve">e.g. </w:t>
      </w:r>
      <w:proofErr w:type="spellStart"/>
      <w:r>
        <w:t>Anyadike</w:t>
      </w:r>
      <w:proofErr w:type="spellEnd"/>
      <w:r>
        <w:t>-Danes et al., 2015).  These findings underline the value of the ecosystem concept; firms are embedded – to varying degrees – in their local, regional and national ecosystem and policy that promotes individual firms in isolation may appear to have “hit and miss” results while missing the bigger picture.</w:t>
      </w:r>
    </w:p>
    <w:p w:rsidR="00506165" w:rsidRDefault="00506165" w:rsidP="00506165">
      <w:r>
        <w:t>While this work confirms that a very small proportion of ventures may undergo extraordinary growth, these firms are very rare and their direct contribution to job creation may not be as great as originally assumed</w:t>
      </w:r>
      <w:r w:rsidR="001A30C1">
        <w:t>. Or it may vary in different time periods</w:t>
      </w:r>
      <w:r>
        <w:t xml:space="preserve">. However, their indirect effect may be very significant, because their extraordinary growth is a signal that they have discovered a new ways of creating – but not fully capturing - value. </w:t>
      </w:r>
      <w:r w:rsidR="001A30C1">
        <w:t>As a result, they may spawn new industries and value chains, while at the same time possibly destroy</w:t>
      </w:r>
      <w:r w:rsidR="00B61E55">
        <w:t>ing</w:t>
      </w:r>
      <w:r w:rsidR="001A30C1">
        <w:t xml:space="preserve"> others.</w:t>
      </w:r>
    </w:p>
    <w:p w:rsidR="00506165" w:rsidRDefault="00506165" w:rsidP="00506165">
      <w:r>
        <w:t xml:space="preserve">Guzman and Stern (2016) have </w:t>
      </w:r>
      <w:r w:rsidR="001A30C1">
        <w:t xml:space="preserve">recently </w:t>
      </w:r>
      <w:r>
        <w:t xml:space="preserve">proposed three new </w:t>
      </w:r>
      <w:r w:rsidR="001A30C1">
        <w:t xml:space="preserve">entrepreneurship </w:t>
      </w:r>
      <w:r>
        <w:t>indices: the Entrepreneurial Quality Index (EQI, measuring the average quality level among a group of start-ups within a given cohort), the Regional Entrepreneurship Cohort Potential Index (RECPI, measuring the growth potential of firms founded within a given region and time period) and the Regional Entrepreneurship Acceleration Index (REAI, measuring the performance of a region over time in realizing the potential of firms founded there). Their measures are based on four “digital signatures”, or markers, of growth potential</w:t>
      </w:r>
      <w:r w:rsidR="00861494">
        <w:t xml:space="preserve"> at the time of founding</w:t>
      </w:r>
      <w:r>
        <w:t xml:space="preserve">: </w:t>
      </w:r>
      <w:r w:rsidR="001A30C1">
        <w:t xml:space="preserve">1) </w:t>
      </w:r>
      <w:r>
        <w:t xml:space="preserve">registered </w:t>
      </w:r>
      <w:r w:rsidR="00861494">
        <w:t xml:space="preserve">as a corporation </w:t>
      </w:r>
      <w:r>
        <w:t xml:space="preserve">and </w:t>
      </w:r>
      <w:r w:rsidR="001A30C1">
        <w:t>2)</w:t>
      </w:r>
      <w:r w:rsidR="00861494">
        <w:t xml:space="preserve"> whether registered in Delaware</w:t>
      </w:r>
      <w:r>
        <w:t xml:space="preserve"> – two markers that are unique to the United States and not replicable elsewhere, </w:t>
      </w:r>
      <w:r w:rsidR="001A30C1">
        <w:t xml:space="preserve">3) </w:t>
      </w:r>
      <w:r>
        <w:t xml:space="preserve">whether the </w:t>
      </w:r>
      <w:r w:rsidR="00861494">
        <w:t xml:space="preserve">new </w:t>
      </w:r>
      <w:r>
        <w:t xml:space="preserve">business has the same name as its owner (again, the significance of this practice may vary by country), and </w:t>
      </w:r>
      <w:r w:rsidR="001A30C1">
        <w:t xml:space="preserve">4) </w:t>
      </w:r>
      <w:r>
        <w:t>whether the business, around the time of start</w:t>
      </w:r>
      <w:r w:rsidR="00861494">
        <w:t>-</w:t>
      </w:r>
      <w:r>
        <w:t xml:space="preserve">up, had a patent or trademark. Because at least two of these four markers appear to be unique to the US, it is difficult to see how these measures could be more widely adopted. On the other hand, </w:t>
      </w:r>
      <w:proofErr w:type="spellStart"/>
      <w:r w:rsidR="00861494">
        <w:t>a</w:t>
      </w:r>
      <w:proofErr w:type="spellEnd"/>
      <w:r w:rsidR="00861494">
        <w:t xml:space="preserve"> regional index based on these markers was found to be</w:t>
      </w:r>
      <w:r>
        <w:t xml:space="preserve"> significantly related to </w:t>
      </w:r>
      <w:r w:rsidR="00B61E55">
        <w:t xml:space="preserve">US </w:t>
      </w:r>
      <w:r>
        <w:t>metro area GDP growth, unlike measures of all start</w:t>
      </w:r>
      <w:r w:rsidR="00861494">
        <w:t>-</w:t>
      </w:r>
      <w:r>
        <w:t>up activity</w:t>
      </w:r>
      <w:r w:rsidR="00564B32">
        <w:t>, and this effort is well worth monitoring</w:t>
      </w:r>
      <w:r>
        <w:t xml:space="preserve">. </w:t>
      </w:r>
    </w:p>
    <w:p w:rsidR="00506165" w:rsidRPr="00861494" w:rsidRDefault="00506165" w:rsidP="00506165">
      <w:pPr>
        <w:rPr>
          <w:b/>
        </w:rPr>
      </w:pPr>
      <w:r w:rsidRPr="00861494">
        <w:rPr>
          <w:b/>
        </w:rPr>
        <w:t>Management of entrepreneurial ecosystems</w:t>
      </w:r>
    </w:p>
    <w:p w:rsidR="00506165" w:rsidRDefault="00506165" w:rsidP="00506165">
      <w:r>
        <w:t xml:space="preserve">Isenberg (2016) identified six common mistakes, in his view, in the discourse on entrepreneurial ecosystems, based on a (superficial) comparison with how </w:t>
      </w:r>
      <w:r w:rsidR="00B61E55">
        <w:t>“</w:t>
      </w:r>
      <w:r>
        <w:t>biological</w:t>
      </w:r>
      <w:r w:rsidR="00B61E55">
        <w:t>”</w:t>
      </w:r>
      <w:r>
        <w:t xml:space="preserve"> ecosystems operate. One is that they can be created. In his view, they can be “affected, influenced, facilitated, and occasionally restored” (p.568), but not created. Second, control of ecosystems is not possible, and is in fact “inherently contradictory” to the notion of ecosystems. Third, entrepreneurial ecosystems at the level of the nation do not exist, except perhaps for very small nations. Fourth, intentions may not be causal. Fifth, entrepreneurial intentions are not sufficient. Finally, it is a mistake to consider entrepreneurs as the only relevant actor, when in reality there is a large cast of actors of different types. He also suggested that entrepreneurial ecosystems are more about facilitating extraordinary growth than about facilitating start</w:t>
      </w:r>
      <w:r w:rsidR="00B61E55">
        <w:t>-</w:t>
      </w:r>
      <w:r>
        <w:t xml:space="preserve">ups. </w:t>
      </w:r>
    </w:p>
    <w:p w:rsidR="00506165" w:rsidRDefault="00506165" w:rsidP="00506165">
      <w:r>
        <w:t>Autio and Levie (2017) identified four challenges to policymaking for entrepreneurial ecosystems</w:t>
      </w:r>
      <w:r w:rsidR="00B61E55">
        <w:t>.</w:t>
      </w:r>
      <w:r>
        <w:t xml:space="preserve"> First, knowledge of how the ecosystem works is distributed across multiple stakeholders. Second, actions taken by stakeholders can have direct and indirect cascading effects within complex causal chains. Third, stakeholder misalignment </w:t>
      </w:r>
      <w:r w:rsidR="00861494">
        <w:t>can hold ecosystems at a suboptimal level pf activity</w:t>
      </w:r>
      <w:r>
        <w:t xml:space="preserve">. Fourth, the combination of interlocking stakeholder relationships and imperfectly distributed information can produce a high level of inertia. They offered lessons from socio-ecological ecosystem management approaches that have evolved specifically to deal with these issues. In these </w:t>
      </w:r>
      <w:r w:rsidR="00861494">
        <w:t>“</w:t>
      </w:r>
      <w:r>
        <w:t>adaptive co-management</w:t>
      </w:r>
      <w:r w:rsidR="00861494">
        <w:t>”</w:t>
      </w:r>
      <w:r>
        <w:t xml:space="preserve"> approaches, decisions are based on a combination of ‘hard facts’ from system monitoring and ‘soft insights’ from deep stakeholder engagement. Stakeholders are not controlled but subtly managed taking into account their varying levels of power, legitimacy and urgency.   </w:t>
      </w:r>
    </w:p>
    <w:p w:rsidR="00506165" w:rsidRPr="00861494" w:rsidRDefault="00506165" w:rsidP="00506165">
      <w:pPr>
        <w:rPr>
          <w:b/>
        </w:rPr>
      </w:pPr>
      <w:r w:rsidRPr="00861494">
        <w:rPr>
          <w:b/>
        </w:rPr>
        <w:t>Conclusion</w:t>
      </w:r>
    </w:p>
    <w:p w:rsidR="00506165" w:rsidRDefault="00506165" w:rsidP="00506165">
      <w:r>
        <w:t xml:space="preserve">There have been significant advances in our understanding of entrepreneurial ecosystems since the first REAP Scotland report was published. None of these advances suggest that the thrust of the Scottish REAP report was mistaken. However, the work done since then suggests that further work by REAP Scotland might have to consider ecosystems at the less than national level, and </w:t>
      </w:r>
      <w:r w:rsidR="00861494">
        <w:t xml:space="preserve">address </w:t>
      </w:r>
      <w:r>
        <w:t>the</w:t>
      </w:r>
      <w:r w:rsidR="00861494">
        <w:t xml:space="preserve"> particular </w:t>
      </w:r>
      <w:r>
        <w:t xml:space="preserve">challenges facing remote rural, poorly networked and single industry dominated regions. </w:t>
      </w:r>
    </w:p>
    <w:p w:rsidR="00506165" w:rsidRDefault="00506165" w:rsidP="00506165">
      <w:r>
        <w:t xml:space="preserve">Many issues remain to be resolved in this field. One is around the issue of governance and management of entrepreneurial ecosystems. Should, as Feld (2012) insists, entrepreneurs run their ecosystems, or could government, quasi-government, or collaborative “backbone” bodies manage them (Autio and Levie, 2017)? As </w:t>
      </w:r>
      <w:proofErr w:type="spellStart"/>
      <w:r>
        <w:t>Spigel</w:t>
      </w:r>
      <w:proofErr w:type="spellEnd"/>
      <w:r>
        <w:t xml:space="preserve"> and Harrison (2018) point out, the answer to this awaits empirical verification. There has been intense discussion around issues such as the appropriate level of analysis (local, regional or national?), the role of digitization in business model evolution and how this affects the nature of ecosystems, how ecosystems influence the relationship between innovation and entrepreneurship, and how entrepreneurial ecosystems attract and integrate immigrants and in-migrants. New robust studies have also appeared on the impact of entrepreneurship training within ecosystems (e.g. Autio and </w:t>
      </w:r>
      <w:proofErr w:type="spellStart"/>
      <w:r>
        <w:t>Rannikko</w:t>
      </w:r>
      <w:proofErr w:type="spellEnd"/>
      <w:r>
        <w:t xml:space="preserve">, 2016; </w:t>
      </w:r>
      <w:proofErr w:type="spellStart"/>
      <w:r>
        <w:t>Olofunmilola</w:t>
      </w:r>
      <w:proofErr w:type="spellEnd"/>
      <w:r>
        <w:t xml:space="preserve"> et al., 2016), but on this, and many more aspects of entrepreneurial ecosystems, much more remains to be d</w:t>
      </w:r>
      <w:r w:rsidR="00B61E55">
        <w:t>iscovered</w:t>
      </w:r>
      <w:r>
        <w:t>.</w:t>
      </w:r>
    </w:p>
    <w:p w:rsidR="00506165" w:rsidRDefault="00506165">
      <w:pPr>
        <w:spacing w:after="200" w:line="276" w:lineRule="auto"/>
      </w:pPr>
      <w:r>
        <w:br w:type="page"/>
      </w:r>
    </w:p>
    <w:p w:rsidR="00506165" w:rsidRPr="004540F4" w:rsidRDefault="00E33C4E">
      <w:pPr>
        <w:spacing w:after="200" w:line="276" w:lineRule="auto"/>
        <w:rPr>
          <w:b/>
          <w:sz w:val="24"/>
        </w:rPr>
      </w:pPr>
      <w:proofErr w:type="gramStart"/>
      <w:r>
        <w:rPr>
          <w:b/>
          <w:sz w:val="24"/>
        </w:rPr>
        <w:t>Section 3.</w:t>
      </w:r>
      <w:proofErr w:type="gramEnd"/>
      <w:r>
        <w:rPr>
          <w:b/>
          <w:sz w:val="24"/>
        </w:rPr>
        <w:t xml:space="preserve"> </w:t>
      </w:r>
      <w:r w:rsidR="00506165" w:rsidRPr="004540F4">
        <w:rPr>
          <w:b/>
          <w:sz w:val="24"/>
        </w:rPr>
        <w:t xml:space="preserve">Results of the Global Entrepreneurship Development Index </w:t>
      </w:r>
      <w:r>
        <w:rPr>
          <w:b/>
          <w:sz w:val="24"/>
        </w:rPr>
        <w:t>update</w:t>
      </w:r>
    </w:p>
    <w:p w:rsidR="006112D1" w:rsidRDefault="00861494">
      <w:pPr>
        <w:spacing w:after="200" w:line="276" w:lineRule="auto"/>
      </w:pPr>
      <w:r>
        <w:t>We have updated the results of the Global Entrepreneurship Development Index for Scotland for the 2008 to 2011 period, so that we can compare with the 2012 to 2015 period.</w:t>
      </w:r>
      <w:r w:rsidR="00425E24">
        <w:t xml:space="preserve"> </w:t>
      </w:r>
      <w:r w:rsidR="00A20884">
        <w:t xml:space="preserve">Appendix 1 compares the shape of the original spider diagrams to the updated spider diagrams for the 2008 to 2011 period. While the shapes are generally similar, some of the technical refinements to the index have resulted in slight changes, in particular to Risk Capital. </w:t>
      </w:r>
      <w:r w:rsidR="006112D1">
        <w:t xml:space="preserve">See Appendix </w:t>
      </w:r>
      <w:r w:rsidR="00A20884">
        <w:t>2</w:t>
      </w:r>
      <w:r w:rsidR="006112D1">
        <w:t xml:space="preserve"> for a summary of the </w:t>
      </w:r>
      <w:r w:rsidR="00A20884">
        <w:t xml:space="preserve">methodology and the </w:t>
      </w:r>
      <w:r w:rsidR="006112D1">
        <w:t xml:space="preserve">decisions taken in order to be able to compare, as far as possible, like with like. </w:t>
      </w:r>
      <w:r w:rsidR="00A20884">
        <w:t>Appendix 2 also contains definitions and sources of all the variables used, and a list of countries used in the analysis.</w:t>
      </w:r>
    </w:p>
    <w:p w:rsidR="00824C36" w:rsidRDefault="00824C36">
      <w:pPr>
        <w:spacing w:after="200" w:line="276" w:lineRule="auto"/>
      </w:pPr>
      <w:r>
        <w:t xml:space="preserve">We first make relative comparisons using spider diagrams to benchmark countries and country groups across the 14 pillars of the index. Then we show the absolute position of Scotland on each individual and institutional measure, in order to pinpoint remaining weaknesses. Finally, we present the results of sensitivity analysis for 5%, 10% and 20% uplifts in Scotland’s GEDI score. </w:t>
      </w:r>
    </w:p>
    <w:p w:rsidR="00A20884" w:rsidRDefault="00A20884">
      <w:pPr>
        <w:spacing w:after="200" w:line="276" w:lineRule="auto"/>
      </w:pPr>
      <w:r>
        <w:t>Figure</w:t>
      </w:r>
      <w:r w:rsidR="00734EC2">
        <w:t>s</w:t>
      </w:r>
      <w:r>
        <w:t xml:space="preserve"> 1 </w:t>
      </w:r>
      <w:r w:rsidR="00734EC2">
        <w:t xml:space="preserve">and 2 </w:t>
      </w:r>
      <w:r>
        <w:t>show how Scotland compares to a sample of 73 countries across the world</w:t>
      </w:r>
      <w:r w:rsidR="007279DE">
        <w:t xml:space="preserve"> for the first and second periods</w:t>
      </w:r>
      <w:r>
        <w:t>.</w:t>
      </w:r>
      <w:r w:rsidR="00EE7007">
        <w:t xml:space="preserve"> The reduction in obvious bottlenecks (inward-pointing spikes, where pillars have a low score relative to neighbouring pillars) between the first and second periods is striking. There is no sign of a networking bottleneck. Innovation scores have improved also, although the score for risk capital appears to have declined. In almost all pillars, Scotland performs within or close to the boundary for the top quartile. In 2008-2011, Scotland ranked 13</w:t>
      </w:r>
      <w:r w:rsidR="00207A04">
        <w:t>th</w:t>
      </w:r>
      <w:r w:rsidR="00EE7007">
        <w:t xml:space="preserve"> overall </w:t>
      </w:r>
      <w:r w:rsidR="00207A04">
        <w:t xml:space="preserve">out </w:t>
      </w:r>
      <w:r w:rsidR="00EE7007">
        <w:t>of 73 countries plus the four home nations</w:t>
      </w:r>
      <w:r w:rsidR="00207A04">
        <w:t xml:space="preserve"> on the overall GEDI Index</w:t>
      </w:r>
      <w:r w:rsidR="00EE7007">
        <w:t>, whereas England ranked 9</w:t>
      </w:r>
      <w:r w:rsidR="00EE7007" w:rsidRPr="00EE7007">
        <w:rPr>
          <w:vertAlign w:val="superscript"/>
        </w:rPr>
        <w:t>th</w:t>
      </w:r>
      <w:r w:rsidR="00EE7007">
        <w:t xml:space="preserve">. </w:t>
      </w:r>
      <w:r w:rsidR="00207A04">
        <w:t>Scotland ranked the same for attitudes (13</w:t>
      </w:r>
      <w:r w:rsidR="00207A04" w:rsidRPr="00207A04">
        <w:rPr>
          <w:vertAlign w:val="superscript"/>
        </w:rPr>
        <w:t>th</w:t>
      </w:r>
      <w:r w:rsidR="00207A04">
        <w:t>),</w:t>
      </w:r>
      <w:r w:rsidR="00EE7007">
        <w:t xml:space="preserve"> higher for the activity sub-index (6</w:t>
      </w:r>
      <w:r w:rsidR="00EE7007" w:rsidRPr="00EE7007">
        <w:rPr>
          <w:vertAlign w:val="superscript"/>
        </w:rPr>
        <w:t>th</w:t>
      </w:r>
      <w:r w:rsidR="00EE7007">
        <w:t>) and lower for the aspirations sub-index (22</w:t>
      </w:r>
      <w:r w:rsidR="00EE7007" w:rsidRPr="00EE7007">
        <w:rPr>
          <w:vertAlign w:val="superscript"/>
        </w:rPr>
        <w:t>nd</w:t>
      </w:r>
      <w:r w:rsidR="00EE7007">
        <w:t xml:space="preserve">). </w:t>
      </w:r>
      <w:r w:rsidR="00207A04">
        <w:t xml:space="preserve"> </w:t>
      </w:r>
      <w:r w:rsidR="008744CB">
        <w:t>In 2012-2015, Scotland’s overall rank rose to 5</w:t>
      </w:r>
      <w:r w:rsidR="008744CB" w:rsidRPr="008744CB">
        <w:rPr>
          <w:vertAlign w:val="superscript"/>
        </w:rPr>
        <w:t>th</w:t>
      </w:r>
      <w:r w:rsidR="008744CB">
        <w:t xml:space="preserve"> place, ahead of England in 7</w:t>
      </w:r>
      <w:r w:rsidR="008744CB" w:rsidRPr="008744CB">
        <w:rPr>
          <w:vertAlign w:val="superscript"/>
        </w:rPr>
        <w:t>th</w:t>
      </w:r>
      <w:r w:rsidR="008744CB">
        <w:t xml:space="preserve"> place, behind the United States, Australia, Denmark and Sweden. It ranked 8</w:t>
      </w:r>
      <w:r w:rsidR="008744CB" w:rsidRPr="008744CB">
        <w:rPr>
          <w:vertAlign w:val="superscript"/>
        </w:rPr>
        <w:t>th</w:t>
      </w:r>
      <w:r w:rsidR="008744CB">
        <w:t xml:space="preserve"> for attitudes, 3</w:t>
      </w:r>
      <w:r w:rsidR="008744CB" w:rsidRPr="008744CB">
        <w:rPr>
          <w:vertAlign w:val="superscript"/>
        </w:rPr>
        <w:t>rd</w:t>
      </w:r>
      <w:r w:rsidR="008744CB">
        <w:t xml:space="preserve"> for activity and 15</w:t>
      </w:r>
      <w:r w:rsidR="008744CB" w:rsidRPr="008744CB">
        <w:rPr>
          <w:vertAlign w:val="superscript"/>
        </w:rPr>
        <w:t>th</w:t>
      </w:r>
      <w:r w:rsidR="008744CB">
        <w:t xml:space="preserve"> for aspiration. The reason for this improvement in rankings is the rounded nature of Scotland’s GEDI profile. In order to mimic how a system works, the GEDI method penalises countries for having bottlenecks. </w:t>
      </w:r>
      <w:r w:rsidR="005C7196">
        <w:t>Since Scotland in the second period had no clear bottlenecks, it advanced above other countries which are better on many pillars than Scotland but have at least one significant bottleneck.</w:t>
      </w:r>
    </w:p>
    <w:p w:rsidR="00207A04" w:rsidRDefault="00207A04">
      <w:pPr>
        <w:spacing w:after="200" w:line="276" w:lineRule="auto"/>
      </w:pPr>
      <w:r>
        <w:t>Figure</w:t>
      </w:r>
      <w:r w:rsidR="006C24A7">
        <w:t>s</w:t>
      </w:r>
      <w:r>
        <w:t xml:space="preserve"> </w:t>
      </w:r>
      <w:r w:rsidR="006C24A7">
        <w:t>3 and 4</w:t>
      </w:r>
      <w:r>
        <w:t xml:space="preserve"> show how Scotland compares to a sample of 28 innovation-driven countries for the first and second periods. </w:t>
      </w:r>
      <w:r w:rsidR="00CA3B5B">
        <w:t xml:space="preserve"> This reveals that relative to other wealthy countries, Scotland has improved i</w:t>
      </w:r>
      <w:r w:rsidR="00824C36">
        <w:t xml:space="preserve">ts </w:t>
      </w:r>
      <w:r w:rsidR="00CA3B5B">
        <w:t>attitude and activity pillars</w:t>
      </w:r>
      <w:r w:rsidR="00824C36" w:rsidRPr="00824C36">
        <w:t xml:space="preserve"> </w:t>
      </w:r>
      <w:r w:rsidR="00824C36">
        <w:t>that were previously weak</w:t>
      </w:r>
      <w:r w:rsidR="00CA3B5B">
        <w:t xml:space="preserve">, but remains </w:t>
      </w:r>
      <w:r w:rsidR="00824C36">
        <w:t xml:space="preserve">relatively </w:t>
      </w:r>
      <w:r w:rsidR="00CA3B5B">
        <w:t xml:space="preserve">weak (below the median) in most aspiration measures. </w:t>
      </w:r>
    </w:p>
    <w:p w:rsidR="00824C36" w:rsidRDefault="00824C36">
      <w:pPr>
        <w:spacing w:after="200" w:line="276" w:lineRule="auto"/>
      </w:pPr>
      <w:r>
        <w:t xml:space="preserve">Figure </w:t>
      </w:r>
      <w:r w:rsidR="006C24A7">
        <w:t>5 and 6</w:t>
      </w:r>
      <w:r>
        <w:t xml:space="preserve"> show Scotland versus Arc of Prosperity countries (</w:t>
      </w:r>
      <w:r w:rsidR="006C24A7">
        <w:t>n</w:t>
      </w:r>
      <w:r>
        <w:t xml:space="preserve">ote: Iceland did not participate in GEM following its financial crisis). </w:t>
      </w:r>
      <w:r w:rsidR="008744CB">
        <w:t>For the 2012 to 2015 period, Scotland sta</w:t>
      </w:r>
      <w:r w:rsidR="005C7196">
        <w:t>nd</w:t>
      </w:r>
      <w:r w:rsidR="008744CB">
        <w:t xml:space="preserve">s out as exceptionally rounded, with no obvious bottlenecks. Every Arc of </w:t>
      </w:r>
      <w:r w:rsidR="005C7196">
        <w:t>P</w:t>
      </w:r>
      <w:r w:rsidR="008744CB">
        <w:t xml:space="preserve">rosperity country, by contrast, had </w:t>
      </w:r>
      <w:r w:rsidR="00552F4D">
        <w:t>at least one significant</w:t>
      </w:r>
      <w:r w:rsidR="008744CB">
        <w:t xml:space="preserve"> bottleneck, and th</w:t>
      </w:r>
      <w:r w:rsidR="00552F4D">
        <w:t>i</w:t>
      </w:r>
      <w:r w:rsidR="008744CB">
        <w:t>s penalised their place in the rankings.</w:t>
      </w:r>
    </w:p>
    <w:p w:rsidR="00CC0077" w:rsidRDefault="00CC0077">
      <w:pPr>
        <w:spacing w:after="200" w:line="276" w:lineRule="auto"/>
      </w:pPr>
      <w:proofErr w:type="gramStart"/>
      <w:r>
        <w:t>Figure</w:t>
      </w:r>
      <w:r w:rsidR="006C24A7">
        <w:t>s 7 and 8 contrast</w:t>
      </w:r>
      <w:r>
        <w:t xml:space="preserve"> Scotland with the other UK home nations.</w:t>
      </w:r>
      <w:proofErr w:type="gramEnd"/>
      <w:r>
        <w:t xml:space="preserve"> Again, Scotland stands out as having a more rounded profile. In contrast to the other benchmarks, Scotland compares relatively well in the Risk Capital pillar.</w:t>
      </w:r>
    </w:p>
    <w:p w:rsidR="004F4726" w:rsidRDefault="004F4726">
      <w:pPr>
        <w:spacing w:after="200" w:line="276" w:lineRule="auto"/>
      </w:pPr>
      <w:r>
        <w:t xml:space="preserve">Table 1 shows Scotland’s scores for each individual and institutional measure, </w:t>
      </w:r>
      <w:r w:rsidR="0080408E">
        <w:t xml:space="preserve">colour-coded in terms of its quartile </w:t>
      </w:r>
      <w:proofErr w:type="gramStart"/>
      <w:r w:rsidR="0080408E">
        <w:t>position,</w:t>
      </w:r>
      <w:proofErr w:type="gramEnd"/>
      <w:r w:rsidR="0080408E">
        <w:t xml:space="preserve"> </w:t>
      </w:r>
      <w:r>
        <w:t xml:space="preserve">and for each pillar, </w:t>
      </w:r>
      <w:r w:rsidR="0080408E">
        <w:t xml:space="preserve">the measure, quartile position and rank </w:t>
      </w:r>
      <w:r>
        <w:t xml:space="preserve">for </w:t>
      </w:r>
      <w:r w:rsidR="0080408E">
        <w:t xml:space="preserve">the </w:t>
      </w:r>
      <w:r>
        <w:t>20</w:t>
      </w:r>
      <w:r w:rsidR="0080408E">
        <w:t>08</w:t>
      </w:r>
      <w:r>
        <w:t xml:space="preserve"> to 201</w:t>
      </w:r>
      <w:r w:rsidR="0080408E">
        <w:t>1 period</w:t>
      </w:r>
      <w:r w:rsidR="00835E54">
        <w:t xml:space="preserve"> for the full sample of 73 countries</w:t>
      </w:r>
      <w:r>
        <w:t>.</w:t>
      </w:r>
      <w:r w:rsidR="0080408E">
        <w:t xml:space="preserve"> Table 2 shows the same measures but for</w:t>
      </w:r>
      <w:r>
        <w:t xml:space="preserve"> </w:t>
      </w:r>
      <w:r w:rsidR="0080408E">
        <w:t xml:space="preserve">the 2012 to 2015 period. Comparing these tables, we see </w:t>
      </w:r>
      <w:r w:rsidR="000301F4">
        <w:t>improvements from the first to the second period. For example, Scotland was in the top quartile of 73 countries in 6 pillars in the first period and 8 pillars in the second period</w:t>
      </w:r>
      <w:r w:rsidR="00F97D30">
        <w:t>. The average pillar score rose from .73 to .76,</w:t>
      </w:r>
      <w:r w:rsidR="000301F4">
        <w:t xml:space="preserve"> and the standard deviation, a measure of how different the pillar scores are from the average pillar score, halved from 0.19 to 0.1</w:t>
      </w:r>
      <w:r w:rsidR="00F97D30">
        <w:t>0</w:t>
      </w:r>
      <w:r w:rsidR="000301F4">
        <w:t xml:space="preserve">. This confirms the visual impression from the spider diagrams that the </w:t>
      </w:r>
      <w:r w:rsidR="00835E54">
        <w:t>Scottish profile is more rounded</w:t>
      </w:r>
      <w:r w:rsidR="00F97D30">
        <w:t xml:space="preserve"> in the second period</w:t>
      </w:r>
      <w:r w:rsidR="00835E54">
        <w:t xml:space="preserve">. In fact, Scotland’s pillars had the second lowest standard deviation when ranked with the 73 countries. </w:t>
      </w:r>
      <w:r w:rsidR="000301F4">
        <w:t xml:space="preserve">Six of its institutional variable scores rose and six declined.  Seven individual variable score rose and seven declined. </w:t>
      </w:r>
      <w:r w:rsidR="00F97D30">
        <w:t xml:space="preserve">More importantly, while seven pillars had scores below .65 in the first period, this was the lowest pillar score in the second period. </w:t>
      </w:r>
    </w:p>
    <w:p w:rsidR="00F97D30" w:rsidRDefault="00F97D30">
      <w:pPr>
        <w:spacing w:after="200" w:line="276" w:lineRule="auto"/>
      </w:pPr>
      <w:r>
        <w:t xml:space="preserve">Tables 3 and 4 show the same scores, but with ranking colour-coding in relation to the 28 innovation-driven countries. This provides a more relevant test of the quality of Scotland’s entrepreneurial ecosystem. Remarkably, Scotland has the lowest standard deviation among its pillar scores of any of these countries, just ahead of the United States. While this is a very positive result, Table 4 clearly identifies the main absolute area of weakness in the second period: Aspiration, and especially High Growth, Internationalization and Risk Capital. </w:t>
      </w:r>
      <w:r w:rsidR="00F0797F">
        <w:t>In the case of the latter, a reduction in average amounts of informal investment has caused the drop in the pillar between the first and second periods. This drop was also experienced in other UK home nations.</w:t>
      </w:r>
    </w:p>
    <w:p w:rsidR="0028189D" w:rsidRDefault="0028189D">
      <w:pPr>
        <w:spacing w:after="200" w:line="276" w:lineRule="auto"/>
      </w:pPr>
      <w:proofErr w:type="gramStart"/>
      <w:r>
        <w:t>Tables 5 and 6 show the results of sensitivity analys</w:t>
      </w:r>
      <w:r w:rsidR="00F0797F">
        <w:t>e</w:t>
      </w:r>
      <w:r>
        <w:t xml:space="preserve">s </w:t>
      </w:r>
      <w:r w:rsidR="009C4CC0">
        <w:t>which modelled the</w:t>
      </w:r>
      <w:r w:rsidR="009C4CC0" w:rsidRPr="009C4CC0">
        <w:t xml:space="preserve"> optimum additional allocation of policy effort for 20%</w:t>
      </w:r>
      <w:r w:rsidR="009C4CC0">
        <w:t>, 10% and 5%</w:t>
      </w:r>
      <w:r w:rsidR="009C4CC0" w:rsidRPr="009C4CC0">
        <w:t xml:space="preserve"> improvement</w:t>
      </w:r>
      <w:r w:rsidR="00F0797F">
        <w:t>s</w:t>
      </w:r>
      <w:r w:rsidR="009C4CC0" w:rsidRPr="009C4CC0">
        <w:t xml:space="preserve"> in Scotland’s GEDI score</w:t>
      </w:r>
      <w:r w:rsidR="009C4CC0">
        <w:t xml:space="preserve"> for the two periods.</w:t>
      </w:r>
      <w:proofErr w:type="gramEnd"/>
      <w:r w:rsidR="009C4CC0">
        <w:t xml:space="preserve"> To put this in context, a 20% improvement in Scotland’s GEDI score in the second period would place it first in the ranking, while a 10% improvement would place it second in the ranking. There is a clear contrast between the optimum </w:t>
      </w:r>
      <w:proofErr w:type="gramStart"/>
      <w:r w:rsidR="009C4CC0">
        <w:t>allocation</w:t>
      </w:r>
      <w:proofErr w:type="gramEnd"/>
      <w:r w:rsidR="009C4CC0">
        <w:t xml:space="preserve"> for the two periods. For the second period, around half of the effort should be directed in the three weakest areas of High Growth, Internationalization and Risk Capital. The main other areas of weakness are Start</w:t>
      </w:r>
      <w:r w:rsidR="004540F4">
        <w:t>-</w:t>
      </w:r>
      <w:r w:rsidR="009C4CC0">
        <w:t>up Skills and both</w:t>
      </w:r>
      <w:r w:rsidR="004540F4">
        <w:t xml:space="preserve"> Product and Process Innovation, which were primary targets for the previous period. </w:t>
      </w:r>
      <w:r w:rsidR="00EE5DCA">
        <w:t xml:space="preserve"> The results of the latest Scottish sensitivity analysis are similar to the results for England – in contrast to Wales and Northern Ireland where Opportunity Perception and </w:t>
      </w:r>
      <w:proofErr w:type="spellStart"/>
      <w:r w:rsidR="00EE5DCA">
        <w:t>Startup</w:t>
      </w:r>
      <w:proofErr w:type="spellEnd"/>
      <w:r w:rsidR="00EE5DCA">
        <w:t xml:space="preserve"> Skills </w:t>
      </w:r>
      <w:r w:rsidR="00FD79E0">
        <w:t>remain</w:t>
      </w:r>
      <w:r w:rsidR="00EE5DCA">
        <w:t xml:space="preserve"> major bottlenecks.</w:t>
      </w:r>
    </w:p>
    <w:p w:rsidR="004540F4" w:rsidRDefault="00066A03">
      <w:pPr>
        <w:spacing w:after="200" w:line="276" w:lineRule="auto"/>
        <w:rPr>
          <w:b/>
        </w:rPr>
      </w:pPr>
      <w:r w:rsidRPr="00066A03">
        <w:rPr>
          <w:b/>
        </w:rPr>
        <w:t>Conclusion</w:t>
      </w:r>
    </w:p>
    <w:p w:rsidR="00FB0884" w:rsidRDefault="00066A03" w:rsidP="005C456A">
      <w:pPr>
        <w:spacing w:after="200" w:line="276" w:lineRule="auto"/>
      </w:pPr>
      <w:r w:rsidRPr="00066A03">
        <w:t>The updated GEDI analysis suggests that as a whole, the Scottish entrepreneurial ecosystem is remarkably healthy</w:t>
      </w:r>
      <w:r>
        <w:t xml:space="preserve"> and balanced</w:t>
      </w:r>
      <w:r w:rsidRPr="00066A03">
        <w:t xml:space="preserve">. </w:t>
      </w:r>
      <w:r w:rsidR="005C456A" w:rsidRPr="005C456A">
        <w:t>If it were a nation state, it would rank 5th when included with 28 innovation-driven nations on the GEDI index for the 2012 to 2015 period, comfortably within the upper quartile</w:t>
      </w:r>
      <w:r w:rsidR="005C456A">
        <w:t xml:space="preserve"> and behind only the </w:t>
      </w:r>
      <w:r w:rsidR="005C456A">
        <w:t>United States</w:t>
      </w:r>
      <w:r w:rsidR="005C456A">
        <w:t xml:space="preserve">, </w:t>
      </w:r>
      <w:r w:rsidR="005C456A">
        <w:t>Australia</w:t>
      </w:r>
      <w:r w:rsidR="005C456A">
        <w:t xml:space="preserve">, </w:t>
      </w:r>
      <w:r w:rsidR="005C456A">
        <w:t>Denmark</w:t>
      </w:r>
      <w:r w:rsidR="005C456A">
        <w:t xml:space="preserve"> and </w:t>
      </w:r>
      <w:r w:rsidR="005C456A">
        <w:t>Sweden</w:t>
      </w:r>
      <w:r w:rsidR="005C456A" w:rsidRPr="005C456A">
        <w:t xml:space="preserve">. This is a rise from number 12 for the 2008 to 2011 period. </w:t>
      </w:r>
      <w:r w:rsidRPr="00066A03">
        <w:t>Some caution is necessary in attributing this improvement to work done by the REAP project, since the REAP actions began halfway through the second data collection period.</w:t>
      </w:r>
      <w:r>
        <w:t xml:space="preserve"> A second note of caution is that this is a national assessment. The literature review drew attention to a trend to ecosystem assessment at the less than national level. At the city-region level, while Edinburgh appears to have a healthy ecosystem, other parts of the country face challenges, including remoteness, reliance on a single industry, and low levels of networking by entrepreneurs.</w:t>
      </w:r>
      <w:r w:rsidR="004574A5">
        <w:t xml:space="preserve"> Further work might consider studies of these regional ecosystems.</w:t>
      </w:r>
      <w:r w:rsidR="00FB0884">
        <w:br w:type="page"/>
      </w:r>
    </w:p>
    <w:p w:rsidR="00FB0884" w:rsidRPr="00A20884" w:rsidRDefault="00FB0884" w:rsidP="00FB0884">
      <w:pPr>
        <w:spacing w:after="200" w:line="276" w:lineRule="auto"/>
        <w:rPr>
          <w:b/>
        </w:rPr>
      </w:pPr>
      <w:proofErr w:type="gramStart"/>
      <w:r w:rsidRPr="00A20884">
        <w:rPr>
          <w:b/>
        </w:rPr>
        <w:t>Figure</w:t>
      </w:r>
      <w:r w:rsidR="00734EC2">
        <w:rPr>
          <w:b/>
        </w:rPr>
        <w:t>s</w:t>
      </w:r>
      <w:r w:rsidRPr="00A20884">
        <w:rPr>
          <w:b/>
        </w:rPr>
        <w:t xml:space="preserve"> 1</w:t>
      </w:r>
      <w:r w:rsidR="00734EC2">
        <w:rPr>
          <w:b/>
        </w:rPr>
        <w:t xml:space="preserve"> and 2</w:t>
      </w:r>
      <w:r w:rsidRPr="00A20884">
        <w:rPr>
          <w:b/>
        </w:rPr>
        <w:t>.</w:t>
      </w:r>
      <w:proofErr w:type="gramEnd"/>
      <w:r w:rsidRPr="00A20884">
        <w:rPr>
          <w:b/>
        </w:rPr>
        <w:t xml:space="preserve"> Scotland compared to 73 countries across the world</w:t>
      </w:r>
    </w:p>
    <w:p w:rsidR="00FB0884" w:rsidRDefault="00FB0884" w:rsidP="00FB0884">
      <w:pPr>
        <w:spacing w:after="200" w:line="276" w:lineRule="auto"/>
      </w:pPr>
      <w:r>
        <w:t>Revised 2008 to 2011 spider diagram for Scotland versus 73 countries</w:t>
      </w:r>
    </w:p>
    <w:p w:rsidR="00FB0884" w:rsidRDefault="00734EC2" w:rsidP="00FB0884">
      <w:pPr>
        <w:spacing w:after="200" w:line="276" w:lineRule="auto"/>
      </w:pPr>
      <w:r>
        <w:rPr>
          <w:noProof/>
          <w:lang w:eastAsia="en-GB"/>
        </w:rPr>
        <w:drawing>
          <wp:inline distT="0" distB="0" distL="0" distR="0" wp14:anchorId="7CE28F77">
            <wp:extent cx="5740966" cy="37433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600" cy="3748955"/>
                    </a:xfrm>
                    <a:prstGeom prst="rect">
                      <a:avLst/>
                    </a:prstGeom>
                    <a:noFill/>
                  </pic:spPr>
                </pic:pic>
              </a:graphicData>
            </a:graphic>
          </wp:inline>
        </w:drawing>
      </w:r>
    </w:p>
    <w:p w:rsidR="00FB0884" w:rsidRDefault="00FB0884" w:rsidP="00FB0884">
      <w:pPr>
        <w:spacing w:after="200" w:line="276" w:lineRule="auto"/>
      </w:pPr>
      <w:r>
        <w:t xml:space="preserve">2012 to 2015 spider diagram for Scotland versus 73 countries </w:t>
      </w:r>
    </w:p>
    <w:p w:rsidR="00FB0884" w:rsidRDefault="00734EC2" w:rsidP="00FB0884">
      <w:pPr>
        <w:spacing w:after="200" w:line="276" w:lineRule="auto"/>
      </w:pPr>
      <w:r>
        <w:rPr>
          <w:noProof/>
          <w:lang w:eastAsia="en-GB"/>
        </w:rPr>
        <w:drawing>
          <wp:inline distT="0" distB="0" distL="0" distR="0" wp14:anchorId="0708BEE7">
            <wp:extent cx="5743575" cy="3745026"/>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0210" cy="3749352"/>
                    </a:xfrm>
                    <a:prstGeom prst="rect">
                      <a:avLst/>
                    </a:prstGeom>
                    <a:noFill/>
                  </pic:spPr>
                </pic:pic>
              </a:graphicData>
            </a:graphic>
          </wp:inline>
        </w:drawing>
      </w:r>
      <w:r w:rsidR="00FB0884">
        <w:br w:type="page"/>
      </w:r>
    </w:p>
    <w:p w:rsidR="00CA3B5B" w:rsidRDefault="00CA3B5B" w:rsidP="00CA3B5B">
      <w:pPr>
        <w:spacing w:after="200" w:line="276" w:lineRule="auto"/>
        <w:rPr>
          <w:b/>
        </w:rPr>
      </w:pPr>
      <w:proofErr w:type="gramStart"/>
      <w:r w:rsidRPr="00A20884">
        <w:rPr>
          <w:b/>
        </w:rPr>
        <w:t>Figure</w:t>
      </w:r>
      <w:r w:rsidR="00734EC2">
        <w:rPr>
          <w:b/>
        </w:rPr>
        <w:t>s</w:t>
      </w:r>
      <w:r w:rsidRPr="00A20884">
        <w:rPr>
          <w:b/>
        </w:rPr>
        <w:t xml:space="preserve"> </w:t>
      </w:r>
      <w:r w:rsidR="00734EC2">
        <w:rPr>
          <w:b/>
        </w:rPr>
        <w:t>3 and 4</w:t>
      </w:r>
      <w:r w:rsidRPr="00A20884">
        <w:rPr>
          <w:b/>
        </w:rPr>
        <w:t>.</w:t>
      </w:r>
      <w:proofErr w:type="gramEnd"/>
      <w:r w:rsidRPr="00A20884">
        <w:rPr>
          <w:b/>
        </w:rPr>
        <w:t xml:space="preserve"> Scotland compared to </w:t>
      </w:r>
      <w:r>
        <w:rPr>
          <w:b/>
        </w:rPr>
        <w:t>28 innovation-driven countries</w:t>
      </w:r>
    </w:p>
    <w:p w:rsidR="00CA3B5B" w:rsidRDefault="00CA3B5B" w:rsidP="00CA3B5B">
      <w:pPr>
        <w:spacing w:after="200" w:line="276" w:lineRule="auto"/>
      </w:pPr>
      <w:r>
        <w:t>Revised 2008 to 2011 spider diagram for Scotland versus 28 innovation-driven countries</w:t>
      </w:r>
    </w:p>
    <w:p w:rsidR="00CA3B5B" w:rsidRDefault="00734EC2" w:rsidP="00CA3B5B">
      <w:pPr>
        <w:spacing w:after="200" w:line="276" w:lineRule="auto"/>
      </w:pPr>
      <w:r>
        <w:rPr>
          <w:noProof/>
          <w:lang w:eastAsia="en-GB"/>
        </w:rPr>
        <w:drawing>
          <wp:inline distT="0" distB="0" distL="0" distR="0" wp14:anchorId="2627F930">
            <wp:extent cx="5785485" cy="3773805"/>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5485" cy="3773805"/>
                    </a:xfrm>
                    <a:prstGeom prst="rect">
                      <a:avLst/>
                    </a:prstGeom>
                    <a:noFill/>
                  </pic:spPr>
                </pic:pic>
              </a:graphicData>
            </a:graphic>
          </wp:inline>
        </w:drawing>
      </w:r>
    </w:p>
    <w:p w:rsidR="00CA3B5B" w:rsidRPr="00A20884" w:rsidRDefault="00CA3B5B" w:rsidP="00CA3B5B">
      <w:pPr>
        <w:spacing w:after="200" w:line="276" w:lineRule="auto"/>
        <w:rPr>
          <w:b/>
        </w:rPr>
      </w:pPr>
      <w:r>
        <w:t xml:space="preserve">2012 to 2015 spider diagram for </w:t>
      </w:r>
      <w:r w:rsidRPr="00CA3B5B">
        <w:t>Scotland versus 28 innovation-driven countries</w:t>
      </w:r>
    </w:p>
    <w:p w:rsidR="00824C36" w:rsidRDefault="00734EC2">
      <w:pPr>
        <w:spacing w:after="200" w:line="276" w:lineRule="auto"/>
      </w:pPr>
      <w:r>
        <w:rPr>
          <w:noProof/>
          <w:lang w:eastAsia="en-GB"/>
        </w:rPr>
        <w:drawing>
          <wp:inline distT="0" distB="0" distL="0" distR="0" wp14:anchorId="79C4932D">
            <wp:extent cx="5781675" cy="3769868"/>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7982" cy="3773980"/>
                    </a:xfrm>
                    <a:prstGeom prst="rect">
                      <a:avLst/>
                    </a:prstGeom>
                    <a:noFill/>
                  </pic:spPr>
                </pic:pic>
              </a:graphicData>
            </a:graphic>
          </wp:inline>
        </w:drawing>
      </w:r>
    </w:p>
    <w:p w:rsidR="00824C36" w:rsidRDefault="00824C36" w:rsidP="00824C36">
      <w:pPr>
        <w:spacing w:after="200" w:line="276" w:lineRule="auto"/>
        <w:rPr>
          <w:b/>
        </w:rPr>
      </w:pPr>
      <w:proofErr w:type="gramStart"/>
      <w:r w:rsidRPr="00A20884">
        <w:rPr>
          <w:b/>
        </w:rPr>
        <w:t>Figure</w:t>
      </w:r>
      <w:r w:rsidR="00734EC2">
        <w:rPr>
          <w:b/>
        </w:rPr>
        <w:t>s</w:t>
      </w:r>
      <w:r w:rsidRPr="00A20884">
        <w:rPr>
          <w:b/>
        </w:rPr>
        <w:t xml:space="preserve"> </w:t>
      </w:r>
      <w:r w:rsidR="00734EC2">
        <w:rPr>
          <w:b/>
        </w:rPr>
        <w:t>5 and 6</w:t>
      </w:r>
      <w:r w:rsidRPr="00A20884">
        <w:rPr>
          <w:b/>
        </w:rPr>
        <w:t>.</w:t>
      </w:r>
      <w:proofErr w:type="gramEnd"/>
      <w:r w:rsidRPr="00A20884">
        <w:rPr>
          <w:b/>
        </w:rPr>
        <w:t xml:space="preserve"> Scotland compared to </w:t>
      </w:r>
      <w:r>
        <w:rPr>
          <w:b/>
        </w:rPr>
        <w:t>Arc of Prosperity countries</w:t>
      </w:r>
    </w:p>
    <w:p w:rsidR="00824C36" w:rsidRDefault="00824C36" w:rsidP="00824C36">
      <w:pPr>
        <w:spacing w:after="200" w:line="276" w:lineRule="auto"/>
      </w:pPr>
      <w:r>
        <w:t xml:space="preserve">Revised 2008 to 2011 spider diagram for Scotland versus </w:t>
      </w:r>
      <w:r w:rsidRPr="002D5EE2">
        <w:t xml:space="preserve">five Arc of Prosperity countries </w:t>
      </w:r>
    </w:p>
    <w:p w:rsidR="00824C36" w:rsidRDefault="00824C36" w:rsidP="00824C36">
      <w:pPr>
        <w:spacing w:after="200" w:line="276" w:lineRule="auto"/>
      </w:pPr>
      <w:r>
        <w:rPr>
          <w:noProof/>
          <w:lang w:eastAsia="en-GB"/>
        </w:rPr>
        <w:drawing>
          <wp:inline distT="0" distB="0" distL="0" distR="0" wp14:anchorId="657BC290" wp14:editId="57E4024D">
            <wp:extent cx="5770182" cy="37623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3291" cy="3764402"/>
                    </a:xfrm>
                    <a:prstGeom prst="rect">
                      <a:avLst/>
                    </a:prstGeom>
                    <a:noFill/>
                  </pic:spPr>
                </pic:pic>
              </a:graphicData>
            </a:graphic>
          </wp:inline>
        </w:drawing>
      </w:r>
    </w:p>
    <w:p w:rsidR="00824C36" w:rsidRPr="00A20884" w:rsidRDefault="00824C36" w:rsidP="00824C36">
      <w:pPr>
        <w:spacing w:after="200" w:line="276" w:lineRule="auto"/>
        <w:rPr>
          <w:b/>
        </w:rPr>
      </w:pPr>
      <w:r>
        <w:t xml:space="preserve">2012 to 2015 spider diagram for </w:t>
      </w:r>
      <w:r w:rsidRPr="00CA3B5B">
        <w:t xml:space="preserve">Scotland versus </w:t>
      </w:r>
      <w:r w:rsidRPr="00824C36">
        <w:t>f</w:t>
      </w:r>
      <w:r>
        <w:t>our</w:t>
      </w:r>
      <w:r w:rsidRPr="00824C36">
        <w:t xml:space="preserve"> Arc of Prosperity countries</w:t>
      </w:r>
    </w:p>
    <w:p w:rsidR="00FB0884" w:rsidRDefault="00824C36">
      <w:pPr>
        <w:spacing w:after="200" w:line="276" w:lineRule="auto"/>
      </w:pPr>
      <w:r>
        <w:rPr>
          <w:noProof/>
          <w:lang w:eastAsia="en-GB"/>
        </w:rPr>
        <w:drawing>
          <wp:inline distT="0" distB="0" distL="0" distR="0" wp14:anchorId="58F52BA3">
            <wp:extent cx="5770183" cy="376237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8975" cy="3761587"/>
                    </a:xfrm>
                    <a:prstGeom prst="rect">
                      <a:avLst/>
                    </a:prstGeom>
                    <a:noFill/>
                  </pic:spPr>
                </pic:pic>
              </a:graphicData>
            </a:graphic>
          </wp:inline>
        </w:drawing>
      </w:r>
      <w:r w:rsidR="00FB0884">
        <w:br w:type="page"/>
      </w:r>
    </w:p>
    <w:p w:rsidR="00CC0077" w:rsidRPr="00CC0077" w:rsidRDefault="00CC0077">
      <w:pPr>
        <w:spacing w:after="200" w:line="276" w:lineRule="auto"/>
        <w:rPr>
          <w:b/>
        </w:rPr>
      </w:pPr>
      <w:proofErr w:type="gramStart"/>
      <w:r w:rsidRPr="00CC0077">
        <w:rPr>
          <w:b/>
        </w:rPr>
        <w:t>Figure</w:t>
      </w:r>
      <w:r w:rsidR="00734EC2">
        <w:rPr>
          <w:b/>
        </w:rPr>
        <w:t>s</w:t>
      </w:r>
      <w:r w:rsidRPr="00CC0077">
        <w:rPr>
          <w:b/>
        </w:rPr>
        <w:t xml:space="preserve"> </w:t>
      </w:r>
      <w:r w:rsidR="00734EC2">
        <w:rPr>
          <w:b/>
        </w:rPr>
        <w:t>7 and 8</w:t>
      </w:r>
      <w:r w:rsidRPr="00CC0077">
        <w:rPr>
          <w:b/>
        </w:rPr>
        <w:t>.</w:t>
      </w:r>
      <w:proofErr w:type="gramEnd"/>
      <w:r w:rsidRPr="00CC0077">
        <w:rPr>
          <w:b/>
        </w:rPr>
        <w:t xml:space="preserve"> Scotland compared to other UK home nations</w:t>
      </w:r>
    </w:p>
    <w:p w:rsidR="00CC0077" w:rsidRDefault="00CC0077" w:rsidP="00CC0077">
      <w:pPr>
        <w:spacing w:after="200" w:line="276" w:lineRule="auto"/>
      </w:pPr>
      <w:r>
        <w:t xml:space="preserve">Revised 2008 to 2011 spider diagram for Scotland versus </w:t>
      </w:r>
      <w:r w:rsidRPr="002D5EE2">
        <w:t>three home nations</w:t>
      </w:r>
    </w:p>
    <w:p w:rsidR="00CC0077" w:rsidRDefault="00CC0077" w:rsidP="00CC0077">
      <w:pPr>
        <w:spacing w:after="200" w:line="276" w:lineRule="auto"/>
        <w:rPr>
          <w:b/>
        </w:rPr>
      </w:pPr>
      <w:r>
        <w:rPr>
          <w:noProof/>
          <w:lang w:eastAsia="en-GB"/>
        </w:rPr>
        <w:drawing>
          <wp:inline distT="0" distB="0" distL="0" distR="0" wp14:anchorId="69F94549" wp14:editId="1AE3F702">
            <wp:extent cx="5724525" cy="373260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723" cy="3733386"/>
                    </a:xfrm>
                    <a:prstGeom prst="rect">
                      <a:avLst/>
                    </a:prstGeom>
                    <a:noFill/>
                  </pic:spPr>
                </pic:pic>
              </a:graphicData>
            </a:graphic>
          </wp:inline>
        </w:drawing>
      </w:r>
    </w:p>
    <w:p w:rsidR="00CC0077" w:rsidRDefault="00CC0077" w:rsidP="00CC0077">
      <w:pPr>
        <w:spacing w:after="200" w:line="276" w:lineRule="auto"/>
        <w:rPr>
          <w:b/>
        </w:rPr>
      </w:pPr>
      <w:r>
        <w:t xml:space="preserve">2012 to 2015 spider diagram for Scotland versus </w:t>
      </w:r>
      <w:r w:rsidRPr="002D5EE2">
        <w:t>three home nations</w:t>
      </w:r>
    </w:p>
    <w:p w:rsidR="00421B7F" w:rsidRDefault="00CC0077" w:rsidP="00CC0077">
      <w:pPr>
        <w:spacing w:after="200" w:line="276" w:lineRule="auto"/>
        <w:rPr>
          <w:b/>
        </w:rPr>
      </w:pPr>
      <w:r>
        <w:rPr>
          <w:b/>
          <w:noProof/>
          <w:lang w:eastAsia="en-GB"/>
        </w:rPr>
        <w:drawing>
          <wp:inline distT="0" distB="0" distL="0" distR="0" wp14:anchorId="427EA1DA">
            <wp:extent cx="5740966" cy="3743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5812" cy="3746484"/>
                    </a:xfrm>
                    <a:prstGeom prst="rect">
                      <a:avLst/>
                    </a:prstGeom>
                    <a:noFill/>
                  </pic:spPr>
                </pic:pic>
              </a:graphicData>
            </a:graphic>
          </wp:inline>
        </w:drawing>
      </w:r>
    </w:p>
    <w:p w:rsidR="00421B7F" w:rsidRDefault="00421B7F" w:rsidP="00CC0077">
      <w:pPr>
        <w:spacing w:after="200" w:line="276" w:lineRule="auto"/>
        <w:rPr>
          <w:b/>
        </w:rPr>
      </w:pPr>
      <w:proofErr w:type="gramStart"/>
      <w:r>
        <w:rPr>
          <w:b/>
        </w:rPr>
        <w:t>Table 1.</w:t>
      </w:r>
      <w:proofErr w:type="gramEnd"/>
      <w:r>
        <w:rPr>
          <w:b/>
        </w:rPr>
        <w:t xml:space="preserve"> Institutional, Individual and pillar scores and ranks for 2008 to 2011 period, 73 countries</w:t>
      </w:r>
    </w:p>
    <w:tbl>
      <w:tblPr>
        <w:tblW w:w="5000" w:type="pct"/>
        <w:tblLook w:val="04A0" w:firstRow="1" w:lastRow="0" w:firstColumn="1" w:lastColumn="0" w:noHBand="0" w:noVBand="1"/>
      </w:tblPr>
      <w:tblGrid>
        <w:gridCol w:w="1335"/>
        <w:gridCol w:w="425"/>
        <w:gridCol w:w="2239"/>
        <w:gridCol w:w="444"/>
        <w:gridCol w:w="2233"/>
        <w:gridCol w:w="463"/>
        <w:gridCol w:w="1671"/>
        <w:gridCol w:w="478"/>
      </w:tblGrid>
      <w:tr w:rsidR="006E747A" w:rsidRPr="0080408E" w:rsidTr="006E747A">
        <w:trPr>
          <w:trHeight w:val="300"/>
        </w:trPr>
        <w:tc>
          <w:tcPr>
            <w:tcW w:w="678" w:type="pct"/>
            <w:tcBorders>
              <w:top w:val="nil"/>
              <w:left w:val="nil"/>
              <w:bottom w:val="nil"/>
              <w:right w:val="nil"/>
            </w:tcBorders>
            <w:shd w:val="clear" w:color="auto" w:fill="auto"/>
            <w:noWrap/>
            <w:vAlign w:val="bottom"/>
            <w:hideMark/>
          </w:tcPr>
          <w:p w:rsidR="0080408E" w:rsidRPr="0080408E" w:rsidRDefault="0080408E" w:rsidP="0080408E">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Top Quartile</w:t>
            </w:r>
          </w:p>
        </w:tc>
        <w:tc>
          <w:tcPr>
            <w:tcW w:w="294" w:type="pct"/>
            <w:tcBorders>
              <w:top w:val="nil"/>
              <w:left w:val="nil"/>
              <w:bottom w:val="nil"/>
              <w:right w:val="nil"/>
            </w:tcBorders>
            <w:shd w:val="clear" w:color="000000" w:fill="95B3D7"/>
            <w:noWrap/>
            <w:vAlign w:val="bottom"/>
            <w:hideMark/>
          </w:tcPr>
          <w:p w:rsidR="0080408E" w:rsidRPr="0080408E" w:rsidRDefault="0080408E" w:rsidP="0080408E">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c>
          <w:tcPr>
            <w:tcW w:w="1144" w:type="pct"/>
            <w:tcBorders>
              <w:top w:val="nil"/>
              <w:left w:val="nil"/>
              <w:bottom w:val="nil"/>
              <w:right w:val="nil"/>
            </w:tcBorders>
            <w:shd w:val="clear" w:color="auto" w:fill="auto"/>
            <w:noWrap/>
            <w:vAlign w:val="bottom"/>
            <w:hideMark/>
          </w:tcPr>
          <w:p w:rsidR="0080408E" w:rsidRPr="0080408E" w:rsidRDefault="0080408E" w:rsidP="0080408E">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Upper-middle Quartile</w:t>
            </w:r>
          </w:p>
        </w:tc>
        <w:tc>
          <w:tcPr>
            <w:tcW w:w="304" w:type="pct"/>
            <w:tcBorders>
              <w:top w:val="nil"/>
              <w:left w:val="nil"/>
              <w:bottom w:val="nil"/>
              <w:right w:val="nil"/>
            </w:tcBorders>
            <w:shd w:val="clear" w:color="000000" w:fill="C4D79B"/>
            <w:noWrap/>
            <w:vAlign w:val="bottom"/>
            <w:hideMark/>
          </w:tcPr>
          <w:p w:rsidR="0080408E" w:rsidRPr="0080408E" w:rsidRDefault="0080408E" w:rsidP="0080408E">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c>
          <w:tcPr>
            <w:tcW w:w="1134" w:type="pct"/>
            <w:tcBorders>
              <w:top w:val="nil"/>
              <w:left w:val="nil"/>
              <w:bottom w:val="nil"/>
              <w:right w:val="nil"/>
            </w:tcBorders>
            <w:shd w:val="clear" w:color="auto" w:fill="auto"/>
            <w:noWrap/>
            <w:vAlign w:val="bottom"/>
            <w:hideMark/>
          </w:tcPr>
          <w:p w:rsidR="0080408E" w:rsidRPr="0080408E" w:rsidRDefault="0080408E" w:rsidP="0080408E">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Lower-middle Quartile</w:t>
            </w:r>
          </w:p>
        </w:tc>
        <w:tc>
          <w:tcPr>
            <w:tcW w:w="314" w:type="pct"/>
            <w:tcBorders>
              <w:top w:val="nil"/>
              <w:left w:val="nil"/>
              <w:bottom w:val="nil"/>
              <w:right w:val="nil"/>
            </w:tcBorders>
            <w:shd w:val="clear" w:color="000000" w:fill="FABF8F"/>
            <w:noWrap/>
            <w:vAlign w:val="bottom"/>
            <w:hideMark/>
          </w:tcPr>
          <w:p w:rsidR="0080408E" w:rsidRPr="0080408E" w:rsidRDefault="0080408E" w:rsidP="0080408E">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c>
          <w:tcPr>
            <w:tcW w:w="810" w:type="pct"/>
            <w:tcBorders>
              <w:top w:val="nil"/>
              <w:left w:val="nil"/>
              <w:bottom w:val="nil"/>
              <w:right w:val="nil"/>
            </w:tcBorders>
            <w:shd w:val="clear" w:color="auto" w:fill="auto"/>
            <w:noWrap/>
            <w:vAlign w:val="bottom"/>
            <w:hideMark/>
          </w:tcPr>
          <w:p w:rsidR="0080408E" w:rsidRPr="0080408E" w:rsidRDefault="0080408E" w:rsidP="0080408E">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Bottom Quartile</w:t>
            </w:r>
          </w:p>
        </w:tc>
        <w:tc>
          <w:tcPr>
            <w:tcW w:w="324" w:type="pct"/>
            <w:tcBorders>
              <w:top w:val="nil"/>
              <w:left w:val="nil"/>
              <w:bottom w:val="nil"/>
              <w:right w:val="nil"/>
            </w:tcBorders>
            <w:shd w:val="clear" w:color="000000" w:fill="DA9694"/>
            <w:noWrap/>
            <w:vAlign w:val="bottom"/>
            <w:hideMark/>
          </w:tcPr>
          <w:p w:rsidR="0080408E" w:rsidRPr="0080408E" w:rsidRDefault="0080408E" w:rsidP="0080408E">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r>
    </w:tbl>
    <w:p w:rsidR="00421B7F" w:rsidRDefault="00421B7F" w:rsidP="00CC0077">
      <w:pPr>
        <w:spacing w:after="200" w:line="276" w:lineRule="auto"/>
      </w:pPr>
      <w:r w:rsidRPr="00421B7F">
        <w:t xml:space="preserve"> </w:t>
      </w:r>
      <w:r w:rsidR="00441491" w:rsidRPr="00441491">
        <w:drawing>
          <wp:inline distT="0" distB="0" distL="0" distR="0" wp14:anchorId="56F11929" wp14:editId="7A5F1CCC">
            <wp:extent cx="5864399" cy="3293086"/>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2460" cy="3291997"/>
                    </a:xfrm>
                    <a:prstGeom prst="rect">
                      <a:avLst/>
                    </a:prstGeom>
                    <a:noFill/>
                    <a:ln>
                      <a:noFill/>
                    </a:ln>
                  </pic:spPr>
                </pic:pic>
              </a:graphicData>
            </a:graphic>
          </wp:inline>
        </w:drawing>
      </w:r>
    </w:p>
    <w:p w:rsidR="00421B7F" w:rsidRDefault="00421B7F" w:rsidP="00421B7F">
      <w:pPr>
        <w:spacing w:after="200" w:line="276" w:lineRule="auto"/>
        <w:rPr>
          <w:b/>
        </w:rPr>
      </w:pPr>
    </w:p>
    <w:p w:rsidR="00421B7F" w:rsidRDefault="00421B7F" w:rsidP="00421B7F">
      <w:pPr>
        <w:spacing w:after="200" w:line="276" w:lineRule="auto"/>
        <w:rPr>
          <w:b/>
        </w:rPr>
      </w:pPr>
      <w:proofErr w:type="gramStart"/>
      <w:r>
        <w:rPr>
          <w:b/>
        </w:rPr>
        <w:t>Table 2.</w:t>
      </w:r>
      <w:proofErr w:type="gramEnd"/>
      <w:r>
        <w:rPr>
          <w:b/>
        </w:rPr>
        <w:t xml:space="preserve"> Institutional, Individual and pillar scores and ranks for 2012 to 2015 period, 73 countries</w:t>
      </w:r>
    </w:p>
    <w:tbl>
      <w:tblPr>
        <w:tblW w:w="5000" w:type="pct"/>
        <w:tblLook w:val="04A0" w:firstRow="1" w:lastRow="0" w:firstColumn="1" w:lastColumn="0" w:noHBand="0" w:noVBand="1"/>
      </w:tblPr>
      <w:tblGrid>
        <w:gridCol w:w="1335"/>
        <w:gridCol w:w="425"/>
        <w:gridCol w:w="2239"/>
        <w:gridCol w:w="444"/>
        <w:gridCol w:w="2233"/>
        <w:gridCol w:w="463"/>
        <w:gridCol w:w="1671"/>
        <w:gridCol w:w="478"/>
      </w:tblGrid>
      <w:tr w:rsidR="006E747A" w:rsidRPr="0080408E" w:rsidTr="00024C04">
        <w:trPr>
          <w:trHeight w:val="300"/>
        </w:trPr>
        <w:tc>
          <w:tcPr>
            <w:tcW w:w="678" w:type="pct"/>
            <w:tcBorders>
              <w:top w:val="nil"/>
              <w:left w:val="nil"/>
              <w:bottom w:val="nil"/>
              <w:right w:val="nil"/>
            </w:tcBorders>
            <w:shd w:val="clear" w:color="auto" w:fill="auto"/>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Top Quartile</w:t>
            </w:r>
          </w:p>
        </w:tc>
        <w:tc>
          <w:tcPr>
            <w:tcW w:w="294" w:type="pct"/>
            <w:tcBorders>
              <w:top w:val="nil"/>
              <w:left w:val="nil"/>
              <w:bottom w:val="nil"/>
              <w:right w:val="nil"/>
            </w:tcBorders>
            <w:shd w:val="clear" w:color="000000" w:fill="95B3D7"/>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c>
          <w:tcPr>
            <w:tcW w:w="1144" w:type="pct"/>
            <w:tcBorders>
              <w:top w:val="nil"/>
              <w:left w:val="nil"/>
              <w:bottom w:val="nil"/>
              <w:right w:val="nil"/>
            </w:tcBorders>
            <w:shd w:val="clear" w:color="auto" w:fill="auto"/>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Upper-middle Quartile</w:t>
            </w:r>
          </w:p>
        </w:tc>
        <w:tc>
          <w:tcPr>
            <w:tcW w:w="304" w:type="pct"/>
            <w:tcBorders>
              <w:top w:val="nil"/>
              <w:left w:val="nil"/>
              <w:bottom w:val="nil"/>
              <w:right w:val="nil"/>
            </w:tcBorders>
            <w:shd w:val="clear" w:color="000000" w:fill="C4D79B"/>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c>
          <w:tcPr>
            <w:tcW w:w="1134" w:type="pct"/>
            <w:tcBorders>
              <w:top w:val="nil"/>
              <w:left w:val="nil"/>
              <w:bottom w:val="nil"/>
              <w:right w:val="nil"/>
            </w:tcBorders>
            <w:shd w:val="clear" w:color="auto" w:fill="auto"/>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Lower-middle Quartile</w:t>
            </w:r>
          </w:p>
        </w:tc>
        <w:tc>
          <w:tcPr>
            <w:tcW w:w="314" w:type="pct"/>
            <w:tcBorders>
              <w:top w:val="nil"/>
              <w:left w:val="nil"/>
              <w:bottom w:val="nil"/>
              <w:right w:val="nil"/>
            </w:tcBorders>
            <w:shd w:val="clear" w:color="000000" w:fill="FABF8F"/>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c>
          <w:tcPr>
            <w:tcW w:w="810" w:type="pct"/>
            <w:tcBorders>
              <w:top w:val="nil"/>
              <w:left w:val="nil"/>
              <w:bottom w:val="nil"/>
              <w:right w:val="nil"/>
            </w:tcBorders>
            <w:shd w:val="clear" w:color="auto" w:fill="auto"/>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Bottom Quartile</w:t>
            </w:r>
          </w:p>
        </w:tc>
        <w:tc>
          <w:tcPr>
            <w:tcW w:w="324" w:type="pct"/>
            <w:tcBorders>
              <w:top w:val="nil"/>
              <w:left w:val="nil"/>
              <w:bottom w:val="nil"/>
              <w:right w:val="nil"/>
            </w:tcBorders>
            <w:shd w:val="clear" w:color="000000" w:fill="DA9694"/>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r>
    </w:tbl>
    <w:p w:rsidR="00421B7F" w:rsidRDefault="00441491" w:rsidP="00421B7F">
      <w:pPr>
        <w:spacing w:after="200" w:line="276" w:lineRule="auto"/>
        <w:rPr>
          <w:b/>
        </w:rPr>
      </w:pPr>
      <w:r w:rsidRPr="00441491">
        <w:drawing>
          <wp:inline distT="0" distB="0" distL="0" distR="0" wp14:anchorId="05553B75" wp14:editId="31D69FF7">
            <wp:extent cx="5760720" cy="3210172"/>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10172"/>
                    </a:xfrm>
                    <a:prstGeom prst="rect">
                      <a:avLst/>
                    </a:prstGeom>
                    <a:noFill/>
                    <a:ln>
                      <a:noFill/>
                    </a:ln>
                  </pic:spPr>
                </pic:pic>
              </a:graphicData>
            </a:graphic>
          </wp:inline>
        </w:drawing>
      </w:r>
    </w:p>
    <w:p w:rsidR="00CC0077" w:rsidRDefault="00CC0077" w:rsidP="00CC0077">
      <w:pPr>
        <w:spacing w:after="200" w:line="276" w:lineRule="auto"/>
        <w:rPr>
          <w:b/>
        </w:rPr>
      </w:pPr>
      <w:r>
        <w:rPr>
          <w:b/>
        </w:rPr>
        <w:br w:type="page"/>
      </w:r>
    </w:p>
    <w:p w:rsidR="00441491" w:rsidRDefault="00441491" w:rsidP="00441491">
      <w:pPr>
        <w:spacing w:after="200" w:line="276" w:lineRule="auto"/>
        <w:rPr>
          <w:b/>
        </w:rPr>
      </w:pPr>
      <w:proofErr w:type="gramStart"/>
      <w:r>
        <w:rPr>
          <w:b/>
        </w:rPr>
        <w:t>Table 3.</w:t>
      </w:r>
      <w:proofErr w:type="gramEnd"/>
      <w:r>
        <w:rPr>
          <w:b/>
        </w:rPr>
        <w:t xml:space="preserve"> Institutional, Individual and pillar scores and ranks for 2008 to 2011 period, 28 innovation-driven countries</w:t>
      </w:r>
    </w:p>
    <w:tbl>
      <w:tblPr>
        <w:tblW w:w="5000" w:type="pct"/>
        <w:tblLook w:val="04A0" w:firstRow="1" w:lastRow="0" w:firstColumn="1" w:lastColumn="0" w:noHBand="0" w:noVBand="1"/>
      </w:tblPr>
      <w:tblGrid>
        <w:gridCol w:w="1335"/>
        <w:gridCol w:w="425"/>
        <w:gridCol w:w="2239"/>
        <w:gridCol w:w="444"/>
        <w:gridCol w:w="2233"/>
        <w:gridCol w:w="463"/>
        <w:gridCol w:w="1671"/>
        <w:gridCol w:w="478"/>
      </w:tblGrid>
      <w:tr w:rsidR="006E747A" w:rsidRPr="0080408E" w:rsidTr="00024C04">
        <w:trPr>
          <w:trHeight w:val="300"/>
        </w:trPr>
        <w:tc>
          <w:tcPr>
            <w:tcW w:w="678" w:type="pct"/>
            <w:tcBorders>
              <w:top w:val="nil"/>
              <w:left w:val="nil"/>
              <w:bottom w:val="nil"/>
              <w:right w:val="nil"/>
            </w:tcBorders>
            <w:shd w:val="clear" w:color="auto" w:fill="auto"/>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Top Quartile</w:t>
            </w:r>
          </w:p>
        </w:tc>
        <w:tc>
          <w:tcPr>
            <w:tcW w:w="294" w:type="pct"/>
            <w:tcBorders>
              <w:top w:val="nil"/>
              <w:left w:val="nil"/>
              <w:bottom w:val="nil"/>
              <w:right w:val="nil"/>
            </w:tcBorders>
            <w:shd w:val="clear" w:color="000000" w:fill="95B3D7"/>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c>
          <w:tcPr>
            <w:tcW w:w="1144" w:type="pct"/>
            <w:tcBorders>
              <w:top w:val="nil"/>
              <w:left w:val="nil"/>
              <w:bottom w:val="nil"/>
              <w:right w:val="nil"/>
            </w:tcBorders>
            <w:shd w:val="clear" w:color="auto" w:fill="auto"/>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Upper-middle Quartile</w:t>
            </w:r>
          </w:p>
        </w:tc>
        <w:tc>
          <w:tcPr>
            <w:tcW w:w="304" w:type="pct"/>
            <w:tcBorders>
              <w:top w:val="nil"/>
              <w:left w:val="nil"/>
              <w:bottom w:val="nil"/>
              <w:right w:val="nil"/>
            </w:tcBorders>
            <w:shd w:val="clear" w:color="000000" w:fill="C4D79B"/>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c>
          <w:tcPr>
            <w:tcW w:w="1134" w:type="pct"/>
            <w:tcBorders>
              <w:top w:val="nil"/>
              <w:left w:val="nil"/>
              <w:bottom w:val="nil"/>
              <w:right w:val="nil"/>
            </w:tcBorders>
            <w:shd w:val="clear" w:color="auto" w:fill="auto"/>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Lower-middle Quartile</w:t>
            </w:r>
          </w:p>
        </w:tc>
        <w:tc>
          <w:tcPr>
            <w:tcW w:w="314" w:type="pct"/>
            <w:tcBorders>
              <w:top w:val="nil"/>
              <w:left w:val="nil"/>
              <w:bottom w:val="nil"/>
              <w:right w:val="nil"/>
            </w:tcBorders>
            <w:shd w:val="clear" w:color="000000" w:fill="FABF8F"/>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c>
          <w:tcPr>
            <w:tcW w:w="810" w:type="pct"/>
            <w:tcBorders>
              <w:top w:val="nil"/>
              <w:left w:val="nil"/>
              <w:bottom w:val="nil"/>
              <w:right w:val="nil"/>
            </w:tcBorders>
            <w:shd w:val="clear" w:color="auto" w:fill="auto"/>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Bottom Quartile</w:t>
            </w:r>
          </w:p>
        </w:tc>
        <w:tc>
          <w:tcPr>
            <w:tcW w:w="324" w:type="pct"/>
            <w:tcBorders>
              <w:top w:val="nil"/>
              <w:left w:val="nil"/>
              <w:bottom w:val="nil"/>
              <w:right w:val="nil"/>
            </w:tcBorders>
            <w:shd w:val="clear" w:color="000000" w:fill="DA9694"/>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r>
    </w:tbl>
    <w:p w:rsidR="00441491" w:rsidRDefault="00441491" w:rsidP="00CC0077">
      <w:pPr>
        <w:spacing w:after="200" w:line="276" w:lineRule="auto"/>
        <w:rPr>
          <w:b/>
        </w:rPr>
      </w:pPr>
      <w:r w:rsidRPr="00441491">
        <w:drawing>
          <wp:inline distT="0" distB="0" distL="0" distR="0" wp14:anchorId="16EFE2D6" wp14:editId="0BDDD867">
            <wp:extent cx="5760720" cy="323486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34866"/>
                    </a:xfrm>
                    <a:prstGeom prst="rect">
                      <a:avLst/>
                    </a:prstGeom>
                    <a:noFill/>
                    <a:ln>
                      <a:noFill/>
                    </a:ln>
                  </pic:spPr>
                </pic:pic>
              </a:graphicData>
            </a:graphic>
          </wp:inline>
        </w:drawing>
      </w:r>
    </w:p>
    <w:p w:rsidR="00441491" w:rsidRDefault="00441491">
      <w:pPr>
        <w:spacing w:after="200" w:line="276" w:lineRule="auto"/>
        <w:rPr>
          <w:b/>
        </w:rPr>
      </w:pPr>
    </w:p>
    <w:p w:rsidR="00441491" w:rsidRDefault="00441491" w:rsidP="00441491">
      <w:pPr>
        <w:spacing w:after="200" w:line="276" w:lineRule="auto"/>
        <w:rPr>
          <w:b/>
        </w:rPr>
      </w:pPr>
      <w:proofErr w:type="gramStart"/>
      <w:r>
        <w:rPr>
          <w:b/>
        </w:rPr>
        <w:t>Table 4.</w:t>
      </w:r>
      <w:proofErr w:type="gramEnd"/>
      <w:r>
        <w:rPr>
          <w:b/>
        </w:rPr>
        <w:t xml:space="preserve"> Institutional, Individual and pillar scores and ranks for 2012 to 2015 period, 28 innovation-driven countries</w:t>
      </w:r>
    </w:p>
    <w:tbl>
      <w:tblPr>
        <w:tblW w:w="5000" w:type="pct"/>
        <w:tblLook w:val="04A0" w:firstRow="1" w:lastRow="0" w:firstColumn="1" w:lastColumn="0" w:noHBand="0" w:noVBand="1"/>
      </w:tblPr>
      <w:tblGrid>
        <w:gridCol w:w="1335"/>
        <w:gridCol w:w="425"/>
        <w:gridCol w:w="2239"/>
        <w:gridCol w:w="444"/>
        <w:gridCol w:w="2233"/>
        <w:gridCol w:w="463"/>
        <w:gridCol w:w="1671"/>
        <w:gridCol w:w="478"/>
      </w:tblGrid>
      <w:tr w:rsidR="006E747A" w:rsidRPr="0080408E" w:rsidTr="00024C04">
        <w:trPr>
          <w:trHeight w:val="300"/>
        </w:trPr>
        <w:tc>
          <w:tcPr>
            <w:tcW w:w="678" w:type="pct"/>
            <w:tcBorders>
              <w:top w:val="nil"/>
              <w:left w:val="nil"/>
              <w:bottom w:val="nil"/>
              <w:right w:val="nil"/>
            </w:tcBorders>
            <w:shd w:val="clear" w:color="auto" w:fill="auto"/>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Top Quartile</w:t>
            </w:r>
          </w:p>
        </w:tc>
        <w:tc>
          <w:tcPr>
            <w:tcW w:w="294" w:type="pct"/>
            <w:tcBorders>
              <w:top w:val="nil"/>
              <w:left w:val="nil"/>
              <w:bottom w:val="nil"/>
              <w:right w:val="nil"/>
            </w:tcBorders>
            <w:shd w:val="clear" w:color="000000" w:fill="95B3D7"/>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c>
          <w:tcPr>
            <w:tcW w:w="1144" w:type="pct"/>
            <w:tcBorders>
              <w:top w:val="nil"/>
              <w:left w:val="nil"/>
              <w:bottom w:val="nil"/>
              <w:right w:val="nil"/>
            </w:tcBorders>
            <w:shd w:val="clear" w:color="auto" w:fill="auto"/>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Upper-middle Quartile</w:t>
            </w:r>
          </w:p>
        </w:tc>
        <w:tc>
          <w:tcPr>
            <w:tcW w:w="304" w:type="pct"/>
            <w:tcBorders>
              <w:top w:val="nil"/>
              <w:left w:val="nil"/>
              <w:bottom w:val="nil"/>
              <w:right w:val="nil"/>
            </w:tcBorders>
            <w:shd w:val="clear" w:color="000000" w:fill="C4D79B"/>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c>
          <w:tcPr>
            <w:tcW w:w="1134" w:type="pct"/>
            <w:tcBorders>
              <w:top w:val="nil"/>
              <w:left w:val="nil"/>
              <w:bottom w:val="nil"/>
              <w:right w:val="nil"/>
            </w:tcBorders>
            <w:shd w:val="clear" w:color="auto" w:fill="auto"/>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Lower-middle Quartile</w:t>
            </w:r>
          </w:p>
        </w:tc>
        <w:tc>
          <w:tcPr>
            <w:tcW w:w="314" w:type="pct"/>
            <w:tcBorders>
              <w:top w:val="nil"/>
              <w:left w:val="nil"/>
              <w:bottom w:val="nil"/>
              <w:right w:val="nil"/>
            </w:tcBorders>
            <w:shd w:val="clear" w:color="000000" w:fill="FABF8F"/>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c>
          <w:tcPr>
            <w:tcW w:w="810" w:type="pct"/>
            <w:tcBorders>
              <w:top w:val="nil"/>
              <w:left w:val="nil"/>
              <w:bottom w:val="nil"/>
              <w:right w:val="nil"/>
            </w:tcBorders>
            <w:shd w:val="clear" w:color="auto" w:fill="auto"/>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Bottom Quartile</w:t>
            </w:r>
          </w:p>
        </w:tc>
        <w:tc>
          <w:tcPr>
            <w:tcW w:w="324" w:type="pct"/>
            <w:tcBorders>
              <w:top w:val="nil"/>
              <w:left w:val="nil"/>
              <w:bottom w:val="nil"/>
              <w:right w:val="nil"/>
            </w:tcBorders>
            <w:shd w:val="clear" w:color="000000" w:fill="DA9694"/>
            <w:noWrap/>
            <w:vAlign w:val="bottom"/>
            <w:hideMark/>
          </w:tcPr>
          <w:p w:rsidR="006E747A" w:rsidRPr="0080408E" w:rsidRDefault="006E747A" w:rsidP="00024C04">
            <w:pPr>
              <w:spacing w:after="0" w:line="240" w:lineRule="auto"/>
              <w:rPr>
                <w:rFonts w:ascii="Calibri" w:eastAsia="Times New Roman" w:hAnsi="Calibri" w:cs="Times New Roman"/>
                <w:color w:val="000000"/>
                <w:lang w:eastAsia="en-GB"/>
              </w:rPr>
            </w:pPr>
            <w:r w:rsidRPr="0080408E">
              <w:rPr>
                <w:rFonts w:ascii="Calibri" w:eastAsia="Times New Roman" w:hAnsi="Calibri" w:cs="Times New Roman"/>
                <w:color w:val="000000"/>
                <w:lang w:eastAsia="en-GB"/>
              </w:rPr>
              <w:t> </w:t>
            </w:r>
          </w:p>
        </w:tc>
      </w:tr>
    </w:tbl>
    <w:p w:rsidR="00E10208" w:rsidRDefault="00441491">
      <w:pPr>
        <w:spacing w:after="200" w:line="276" w:lineRule="auto"/>
        <w:rPr>
          <w:b/>
        </w:rPr>
      </w:pPr>
      <w:r w:rsidRPr="00441491">
        <w:drawing>
          <wp:inline distT="0" distB="0" distL="0" distR="0" wp14:anchorId="2BC859EA" wp14:editId="402E2CAA">
            <wp:extent cx="5760720" cy="321017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10172"/>
                    </a:xfrm>
                    <a:prstGeom prst="rect">
                      <a:avLst/>
                    </a:prstGeom>
                    <a:noFill/>
                    <a:ln>
                      <a:noFill/>
                    </a:ln>
                  </pic:spPr>
                </pic:pic>
              </a:graphicData>
            </a:graphic>
          </wp:inline>
        </w:drawing>
      </w:r>
    </w:p>
    <w:p w:rsidR="00E10208" w:rsidRDefault="00E10208">
      <w:pPr>
        <w:spacing w:after="200" w:line="276" w:lineRule="auto"/>
        <w:rPr>
          <w:b/>
        </w:rPr>
      </w:pPr>
      <w:r>
        <w:rPr>
          <w:b/>
        </w:rPr>
        <w:br w:type="page"/>
      </w:r>
    </w:p>
    <w:p w:rsidR="005366F8" w:rsidRDefault="00E10208">
      <w:pPr>
        <w:spacing w:after="200" w:line="276" w:lineRule="auto"/>
        <w:rPr>
          <w:b/>
        </w:rPr>
      </w:pPr>
      <w:proofErr w:type="gramStart"/>
      <w:r>
        <w:rPr>
          <w:b/>
        </w:rPr>
        <w:t>Table 5.</w:t>
      </w:r>
      <w:proofErr w:type="gramEnd"/>
      <w:r>
        <w:rPr>
          <w:b/>
        </w:rPr>
        <w:t xml:space="preserve"> Sensitivity analysis showing which pillars extra resources should be</w:t>
      </w:r>
      <w:r w:rsidR="005366F8">
        <w:rPr>
          <w:b/>
        </w:rPr>
        <w:t xml:space="preserve"> focused on for a 30%, 10% or 5% improvement in Scotland’s relative position in the GEDI Index, 2008 to 2011 period</w:t>
      </w:r>
    </w:p>
    <w:p w:rsidR="005366F8" w:rsidRDefault="005366F8">
      <w:pPr>
        <w:spacing w:after="200" w:line="276" w:lineRule="auto"/>
        <w:rPr>
          <w:b/>
        </w:rPr>
      </w:pPr>
      <w:r w:rsidRPr="005366F8">
        <w:drawing>
          <wp:inline distT="0" distB="0" distL="0" distR="0">
            <wp:extent cx="5629275" cy="34385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3438525"/>
                    </a:xfrm>
                    <a:prstGeom prst="rect">
                      <a:avLst/>
                    </a:prstGeom>
                    <a:noFill/>
                    <a:ln>
                      <a:noFill/>
                    </a:ln>
                  </pic:spPr>
                </pic:pic>
              </a:graphicData>
            </a:graphic>
          </wp:inline>
        </w:drawing>
      </w:r>
    </w:p>
    <w:p w:rsidR="005366F8" w:rsidRDefault="005366F8" w:rsidP="005366F8">
      <w:pPr>
        <w:spacing w:after="200" w:line="276" w:lineRule="auto"/>
        <w:rPr>
          <w:b/>
        </w:rPr>
      </w:pPr>
      <w:proofErr w:type="gramStart"/>
      <w:r>
        <w:rPr>
          <w:b/>
        </w:rPr>
        <w:t>Table 6.</w:t>
      </w:r>
      <w:proofErr w:type="gramEnd"/>
      <w:r>
        <w:rPr>
          <w:b/>
        </w:rPr>
        <w:t xml:space="preserve"> Sensitivity analysis showing which pillars extra resources should be focused on for a 30%, 10% or 5% improvement in Scotland’s relative position in the GEDI Index, 2012 to 2015 period</w:t>
      </w:r>
    </w:p>
    <w:p w:rsidR="00441491" w:rsidRDefault="005366F8">
      <w:pPr>
        <w:spacing w:after="200" w:line="276" w:lineRule="auto"/>
        <w:rPr>
          <w:b/>
        </w:rPr>
      </w:pPr>
      <w:r w:rsidRPr="005366F8">
        <w:drawing>
          <wp:inline distT="0" distB="0" distL="0" distR="0">
            <wp:extent cx="5629275" cy="3429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3429000"/>
                    </a:xfrm>
                    <a:prstGeom prst="rect">
                      <a:avLst/>
                    </a:prstGeom>
                    <a:noFill/>
                    <a:ln>
                      <a:noFill/>
                    </a:ln>
                  </pic:spPr>
                </pic:pic>
              </a:graphicData>
            </a:graphic>
          </wp:inline>
        </w:drawing>
      </w:r>
      <w:r w:rsidR="00441491">
        <w:rPr>
          <w:b/>
        </w:rPr>
        <w:br w:type="page"/>
      </w:r>
    </w:p>
    <w:p w:rsidR="00FB0884" w:rsidRPr="00E33C4E" w:rsidRDefault="00024C04" w:rsidP="00FB0884">
      <w:pPr>
        <w:rPr>
          <w:b/>
          <w:sz w:val="24"/>
        </w:rPr>
      </w:pPr>
      <w:proofErr w:type="gramStart"/>
      <w:r>
        <w:rPr>
          <w:b/>
          <w:sz w:val="24"/>
        </w:rPr>
        <w:t>Section 4.</w:t>
      </w:r>
      <w:proofErr w:type="gramEnd"/>
      <w:r>
        <w:rPr>
          <w:b/>
          <w:sz w:val="24"/>
        </w:rPr>
        <w:t xml:space="preserve"> </w:t>
      </w:r>
      <w:r w:rsidR="00FB0884" w:rsidRPr="00E33C4E">
        <w:rPr>
          <w:b/>
          <w:sz w:val="24"/>
        </w:rPr>
        <w:t>References</w:t>
      </w:r>
    </w:p>
    <w:p w:rsidR="00FB0884" w:rsidRDefault="00FB0884" w:rsidP="00FB0884">
      <w:proofErr w:type="gramStart"/>
      <w:r>
        <w:t>Acs</w:t>
      </w:r>
      <w:proofErr w:type="gramEnd"/>
      <w:r>
        <w:t>, Z. J., Autio, E., Szerb, L. (2014) National Systems of Entrepreneurship: Measurement issues and policy implications. Research Policy, 43: 476–494.</w:t>
      </w:r>
    </w:p>
    <w:p w:rsidR="00FB0884" w:rsidRDefault="00FB0884" w:rsidP="00FB0884">
      <w:proofErr w:type="spellStart"/>
      <w:r>
        <w:t>Anyadike</w:t>
      </w:r>
      <w:proofErr w:type="spellEnd"/>
      <w:r>
        <w:t>-Danes, M.</w:t>
      </w:r>
      <w:proofErr w:type="gramStart"/>
      <w:r>
        <w:t xml:space="preserve">,  </w:t>
      </w:r>
      <w:proofErr w:type="spellStart"/>
      <w:r>
        <w:t>Bjuggren</w:t>
      </w:r>
      <w:proofErr w:type="spellEnd"/>
      <w:proofErr w:type="gramEnd"/>
      <w:r>
        <w:t xml:space="preserve"> , C-M.,   Gottschalk, S.,  </w:t>
      </w:r>
      <w:proofErr w:type="spellStart"/>
      <w:r>
        <w:t>Hõlzl</w:t>
      </w:r>
      <w:proofErr w:type="spellEnd"/>
      <w:r>
        <w:t xml:space="preserve">, W.,  Johansson, D. ,  </w:t>
      </w:r>
      <w:proofErr w:type="spellStart"/>
      <w:r>
        <w:t>Maliranta</w:t>
      </w:r>
      <w:proofErr w:type="spellEnd"/>
      <w:r>
        <w:t xml:space="preserve">, M., and  </w:t>
      </w:r>
      <w:proofErr w:type="spellStart"/>
      <w:r>
        <w:t>Myrann</w:t>
      </w:r>
      <w:proofErr w:type="spellEnd"/>
      <w:r>
        <w:t>, A. (2015). An international cohort comparison of size effects on job growth. Small Business Economics 44: 821–844.</w:t>
      </w:r>
    </w:p>
    <w:p w:rsidR="00FB0884" w:rsidRDefault="00FB0884" w:rsidP="00FB0884">
      <w:proofErr w:type="gramStart"/>
      <w:r>
        <w:t xml:space="preserve">Autio, E., Kenney, M. F., </w:t>
      </w:r>
      <w:proofErr w:type="spellStart"/>
      <w:r>
        <w:t>Mustar</w:t>
      </w:r>
      <w:proofErr w:type="spellEnd"/>
      <w:r>
        <w:t>, P., Siegel, D. S., &amp; Wright, M. T. 2014.</w:t>
      </w:r>
      <w:proofErr w:type="gramEnd"/>
      <w:r>
        <w:t xml:space="preserve"> Entrepreneurial innovation: The importance of context. Research Policy, 43(7): 1097-1108. </w:t>
      </w:r>
    </w:p>
    <w:p w:rsidR="00FB0884" w:rsidRDefault="00FB0884" w:rsidP="00FB0884">
      <w:proofErr w:type="gramStart"/>
      <w:r>
        <w:t xml:space="preserve">Autio, E., </w:t>
      </w:r>
      <w:proofErr w:type="spellStart"/>
      <w:r>
        <w:t>Nambisan</w:t>
      </w:r>
      <w:proofErr w:type="spellEnd"/>
      <w:r>
        <w:t>, S., Thomas, L., &amp; Wright, M. 2018.</w:t>
      </w:r>
      <w:proofErr w:type="gramEnd"/>
      <w:r>
        <w:t xml:space="preserve"> </w:t>
      </w:r>
      <w:proofErr w:type="gramStart"/>
      <w:r>
        <w:t>Digital affordances, spatial affordances, and the genesis of entrepreneurial ecosystems.</w:t>
      </w:r>
      <w:proofErr w:type="gramEnd"/>
      <w:r>
        <w:t xml:space="preserve"> </w:t>
      </w:r>
      <w:proofErr w:type="gramStart"/>
      <w:r>
        <w:t>Strategic Entrepreneurship Journal, in print.</w:t>
      </w:r>
      <w:proofErr w:type="gramEnd"/>
    </w:p>
    <w:p w:rsidR="00FB0884" w:rsidRDefault="00FB0884" w:rsidP="00FB0884">
      <w:r>
        <w:t xml:space="preserve">Autio, E., &amp; </w:t>
      </w:r>
      <w:proofErr w:type="spellStart"/>
      <w:r>
        <w:t>Rannikko</w:t>
      </w:r>
      <w:proofErr w:type="spellEnd"/>
      <w:r>
        <w:t>, H. 2016. Retaining winners: Can policy boost high-growth entrepreneurship? Research Policy, 45(1): 42-55.</w:t>
      </w:r>
    </w:p>
    <w:p w:rsidR="00FB0884" w:rsidRDefault="00FB0884" w:rsidP="00FB0884">
      <w:proofErr w:type="gramStart"/>
      <w:r>
        <w:t>Autio, E. and Levie, J. (2017) Managing Entrepreneurial ecosystems.</w:t>
      </w:r>
      <w:proofErr w:type="gramEnd"/>
      <w:r>
        <w:t xml:space="preserve"> In G. </w:t>
      </w:r>
      <w:proofErr w:type="spellStart"/>
      <w:r>
        <w:t>Ahmetoglu</w:t>
      </w:r>
      <w:proofErr w:type="spellEnd"/>
      <w:r>
        <w:t xml:space="preserve"> and T. </w:t>
      </w:r>
      <w:proofErr w:type="spellStart"/>
      <w:r>
        <w:t>Karcisky</w:t>
      </w:r>
      <w:proofErr w:type="spellEnd"/>
      <w:r>
        <w:t xml:space="preserve"> (eds.), Wiley Handbook of Entrepreneurship.pp.423-452. </w:t>
      </w:r>
      <w:proofErr w:type="spellStart"/>
      <w:r>
        <w:t>Chicester</w:t>
      </w:r>
      <w:proofErr w:type="spellEnd"/>
      <w:r>
        <w:t>: John Wiley &amp; Sons.</w:t>
      </w:r>
    </w:p>
    <w:p w:rsidR="00FB0884" w:rsidRDefault="00FB0884" w:rsidP="00FB0884">
      <w:proofErr w:type="gramStart"/>
      <w:r>
        <w:t>Bock, A., and Johnson, A. (2015).</w:t>
      </w:r>
      <w:proofErr w:type="gramEnd"/>
      <w:r>
        <w:t xml:space="preserve"> Entrepreneurial Ecosystems: Fixing the Triple Helix. European Business Review, November 20.  Available at:  http://www.europeanbusinessreview.com/entrepreneurial-ecosystems-fixing-the-triple-helix/</w:t>
      </w:r>
    </w:p>
    <w:p w:rsidR="00FB0884" w:rsidRDefault="00FB0884" w:rsidP="00FB0884">
      <w:r>
        <w:t xml:space="preserve">Feld B. 2012. </w:t>
      </w:r>
      <w:proofErr w:type="spellStart"/>
      <w:r>
        <w:t>Startup</w:t>
      </w:r>
      <w:proofErr w:type="spellEnd"/>
      <w:r>
        <w:t xml:space="preserve"> Communities: Building an Entrepreneurial Ecosystem in your City. Wiley: Hoboken, NJ. </w:t>
      </w:r>
    </w:p>
    <w:p w:rsidR="00FB0884" w:rsidRDefault="00FB0884" w:rsidP="00FB0884">
      <w:r>
        <w:t>Isenberg DJ. 2016. Applying the ecosystem metaphor to entrepreneurship: Uses and abuses. Antitrust Bulletin 61(4): 564-573.</w:t>
      </w:r>
    </w:p>
    <w:p w:rsidR="00FB0884" w:rsidRDefault="00FB0884" w:rsidP="00FB0884">
      <w:proofErr w:type="gramStart"/>
      <w:r>
        <w:t>Mason, C., &amp; Brown, R. (2014).</w:t>
      </w:r>
      <w:proofErr w:type="gramEnd"/>
      <w:r>
        <w:t xml:space="preserve"> Entrepreneurial ecosystems and growth oriented entrepreneurship. Paris, France: OECD LEED Programme.</w:t>
      </w:r>
    </w:p>
    <w:p w:rsidR="00FB0884" w:rsidRDefault="00FB0884" w:rsidP="00FB0884">
      <w:proofErr w:type="spellStart"/>
      <w:proofErr w:type="gramStart"/>
      <w:r>
        <w:t>Olofunmilola</w:t>
      </w:r>
      <w:proofErr w:type="spellEnd"/>
      <w:r>
        <w:t>, D., Jack, S, and George, M. (2016).</w:t>
      </w:r>
      <w:proofErr w:type="gramEnd"/>
      <w:r>
        <w:t xml:space="preserve"> University-business engagement franchising and geographic distance: A case study of a business leadership programme. Regional Studies 50(7):1217-1231.</w:t>
      </w:r>
    </w:p>
    <w:p w:rsidR="00FB0884" w:rsidRDefault="00FB0884" w:rsidP="00FB0884">
      <w:proofErr w:type="spellStart"/>
      <w:r>
        <w:t>Spigel</w:t>
      </w:r>
      <w:proofErr w:type="spellEnd"/>
      <w:r w:rsidR="006F63AA">
        <w:t>, B.</w:t>
      </w:r>
      <w:bookmarkStart w:id="0" w:name="_GoBack"/>
      <w:bookmarkEnd w:id="0"/>
      <w:r>
        <w:t xml:space="preserve"> (2016) Developing and governing entrepreneurial ecosystems: The structure of entrepreneurial support programs in Edinburgh, Scotland. </w:t>
      </w:r>
      <w:proofErr w:type="gramStart"/>
      <w:r>
        <w:t>International Journal of Innovation and Regional Development 7 (2).</w:t>
      </w:r>
      <w:proofErr w:type="gramEnd"/>
      <w:r>
        <w:t xml:space="preserve"> </w:t>
      </w:r>
      <w:proofErr w:type="gramStart"/>
      <w:r>
        <w:t>141-160.</w:t>
      </w:r>
      <w:proofErr w:type="gramEnd"/>
    </w:p>
    <w:p w:rsidR="00FB0884" w:rsidRDefault="00FB0884" w:rsidP="00FB0884">
      <w:proofErr w:type="spellStart"/>
      <w:r>
        <w:t>Spigel</w:t>
      </w:r>
      <w:proofErr w:type="spellEnd"/>
      <w:r>
        <w:t xml:space="preserve">, B. (2017a). </w:t>
      </w:r>
      <w:proofErr w:type="gramStart"/>
      <w:r>
        <w:t>The Relational Organization of Entrepreneurial Ecosystems.</w:t>
      </w:r>
      <w:proofErr w:type="gramEnd"/>
      <w:r>
        <w:t xml:space="preserve"> Entrepreneurship Theory &amp; Practice 41: 49–72.</w:t>
      </w:r>
    </w:p>
    <w:p w:rsidR="00FB0884" w:rsidRDefault="00FB0884" w:rsidP="00FB0884">
      <w:proofErr w:type="spellStart"/>
      <w:r>
        <w:t>Spigel</w:t>
      </w:r>
      <w:proofErr w:type="spellEnd"/>
      <w:r>
        <w:t xml:space="preserve">, B. (2017b). Entrepreneurial ecosystems as practices and resources: Resource acquisition and co-production in Edinburgh and Glasgow. Paper presented at Academy of Management Conference, Atlanta, </w:t>
      </w:r>
      <w:proofErr w:type="gramStart"/>
      <w:r>
        <w:t>August</w:t>
      </w:r>
      <w:proofErr w:type="gramEnd"/>
      <w:r>
        <w:t>.</w:t>
      </w:r>
    </w:p>
    <w:p w:rsidR="00FB0884" w:rsidRDefault="00FB0884" w:rsidP="00FB0884">
      <w:proofErr w:type="spellStart"/>
      <w:proofErr w:type="gramStart"/>
      <w:r>
        <w:t>Spigel</w:t>
      </w:r>
      <w:proofErr w:type="spellEnd"/>
      <w:r>
        <w:t>, B. and Harrison, R. (2017).</w:t>
      </w:r>
      <w:proofErr w:type="gramEnd"/>
      <w:r>
        <w:t xml:space="preserve"> </w:t>
      </w:r>
      <w:proofErr w:type="gramStart"/>
      <w:r>
        <w:t>Towards a theory of entrepreneurial ecosystems.</w:t>
      </w:r>
      <w:proofErr w:type="gramEnd"/>
      <w:r>
        <w:t xml:space="preserve"> </w:t>
      </w:r>
      <w:proofErr w:type="gramStart"/>
      <w:r>
        <w:t>Strategic Management Journal.</w:t>
      </w:r>
      <w:proofErr w:type="gramEnd"/>
      <w:r>
        <w:t xml:space="preserve"> </w:t>
      </w:r>
      <w:proofErr w:type="gramStart"/>
      <w:r>
        <w:t>In print.</w:t>
      </w:r>
      <w:proofErr w:type="gramEnd"/>
    </w:p>
    <w:p w:rsidR="00FB0884" w:rsidRDefault="00FB0884" w:rsidP="00FB0884">
      <w:proofErr w:type="gramStart"/>
      <w:r>
        <w:t>World Economic Forum, 2014.</w:t>
      </w:r>
      <w:proofErr w:type="gramEnd"/>
      <w:r>
        <w:t xml:space="preserve"> Enhancing Europe's competitiveness: Fostering innovation-driven entrepreneurship in Europe, in: WEF (Ed.). World Economic Forum, Geneva, p. 64.</w:t>
      </w:r>
    </w:p>
    <w:p w:rsidR="000C3F33" w:rsidRPr="00E33C4E" w:rsidRDefault="000C3F33">
      <w:pPr>
        <w:spacing w:after="200" w:line="276" w:lineRule="auto"/>
        <w:rPr>
          <w:b/>
          <w:sz w:val="24"/>
        </w:rPr>
      </w:pPr>
      <w:proofErr w:type="gramStart"/>
      <w:r w:rsidRPr="00E33C4E">
        <w:rPr>
          <w:b/>
          <w:sz w:val="24"/>
        </w:rPr>
        <w:t>Appendix 1.</w:t>
      </w:r>
      <w:proofErr w:type="gramEnd"/>
      <w:r w:rsidRPr="00E33C4E">
        <w:rPr>
          <w:b/>
          <w:sz w:val="24"/>
        </w:rPr>
        <w:t xml:space="preserve"> Original versus revised spider diagrams for 2008 to 2011</w:t>
      </w:r>
    </w:p>
    <w:p w:rsidR="00506165" w:rsidRDefault="00506165">
      <w:pPr>
        <w:spacing w:after="200" w:line="276" w:lineRule="auto"/>
      </w:pPr>
      <w:r>
        <w:t>Original 2008 to 2011 spider diagram for Scotland versus 78</w:t>
      </w:r>
      <w:r w:rsidR="000C3F33">
        <w:t xml:space="preserve"> countries</w:t>
      </w:r>
    </w:p>
    <w:p w:rsidR="00506165" w:rsidRDefault="00506165">
      <w:pPr>
        <w:spacing w:after="200" w:line="276" w:lineRule="auto"/>
      </w:pPr>
      <w:r>
        <w:rPr>
          <w:noProof/>
          <w:lang w:eastAsia="en-GB"/>
        </w:rPr>
        <w:drawing>
          <wp:inline distT="0" distB="0" distL="0" distR="0" wp14:anchorId="5197A5A0">
            <wp:extent cx="5711749" cy="37242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4855" cy="3726300"/>
                    </a:xfrm>
                    <a:prstGeom prst="rect">
                      <a:avLst/>
                    </a:prstGeom>
                    <a:noFill/>
                  </pic:spPr>
                </pic:pic>
              </a:graphicData>
            </a:graphic>
          </wp:inline>
        </w:drawing>
      </w:r>
    </w:p>
    <w:p w:rsidR="00506165" w:rsidRDefault="00506165">
      <w:pPr>
        <w:spacing w:after="200" w:line="276" w:lineRule="auto"/>
      </w:pPr>
      <w:r>
        <w:t>Revised 2008 to 2011 spider diagram for Scotland versus 73 countries</w:t>
      </w:r>
    </w:p>
    <w:p w:rsidR="000C3F33" w:rsidRDefault="00734EC2">
      <w:pPr>
        <w:spacing w:after="200" w:line="276" w:lineRule="auto"/>
      </w:pPr>
      <w:r>
        <w:rPr>
          <w:noProof/>
          <w:lang w:eastAsia="en-GB"/>
        </w:rPr>
        <w:drawing>
          <wp:inline distT="0" distB="0" distL="0" distR="0" wp14:anchorId="14023C3F">
            <wp:extent cx="5715000" cy="3726394"/>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4355" cy="3725974"/>
                    </a:xfrm>
                    <a:prstGeom prst="rect">
                      <a:avLst/>
                    </a:prstGeom>
                    <a:noFill/>
                  </pic:spPr>
                </pic:pic>
              </a:graphicData>
            </a:graphic>
          </wp:inline>
        </w:drawing>
      </w:r>
    </w:p>
    <w:p w:rsidR="000C3F33" w:rsidRDefault="000C3F33" w:rsidP="000C3F33">
      <w:pPr>
        <w:spacing w:after="200" w:line="276" w:lineRule="auto"/>
      </w:pPr>
      <w:r>
        <w:t>Original 2008 to 2011 spider diagram for Scotland versus 27 innovation-driven countries</w:t>
      </w:r>
    </w:p>
    <w:p w:rsidR="000C3F33" w:rsidRDefault="000C3F33" w:rsidP="000C3F33">
      <w:pPr>
        <w:spacing w:after="200" w:line="276" w:lineRule="auto"/>
      </w:pPr>
      <w:r>
        <w:rPr>
          <w:noProof/>
          <w:lang w:eastAsia="en-GB"/>
        </w:rPr>
        <w:drawing>
          <wp:inline distT="0" distB="0" distL="0" distR="0" wp14:anchorId="52913482" wp14:editId="27983EB0">
            <wp:extent cx="5781675" cy="376986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4171" cy="3771496"/>
                    </a:xfrm>
                    <a:prstGeom prst="rect">
                      <a:avLst/>
                    </a:prstGeom>
                    <a:noFill/>
                  </pic:spPr>
                </pic:pic>
              </a:graphicData>
            </a:graphic>
          </wp:inline>
        </w:drawing>
      </w:r>
      <w:r w:rsidRPr="000C3F33">
        <w:t xml:space="preserve"> </w:t>
      </w:r>
    </w:p>
    <w:p w:rsidR="000C3F33" w:rsidRDefault="000C3F33" w:rsidP="000C3F33">
      <w:pPr>
        <w:spacing w:after="200" w:line="276" w:lineRule="auto"/>
      </w:pPr>
      <w:r>
        <w:t>Revised 2008 to 2011 spider diagram for Scotland versus 28 innovation-driven countries</w:t>
      </w:r>
    </w:p>
    <w:p w:rsidR="000C3F33" w:rsidRDefault="00734EC2" w:rsidP="000C3F33">
      <w:pPr>
        <w:spacing w:after="200" w:line="276" w:lineRule="auto"/>
      </w:pPr>
      <w:r>
        <w:rPr>
          <w:noProof/>
          <w:lang w:eastAsia="en-GB"/>
        </w:rPr>
        <w:drawing>
          <wp:inline distT="0" distB="0" distL="0" distR="0" wp14:anchorId="6DFB9EC4">
            <wp:extent cx="5784792" cy="377190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0617" cy="3775698"/>
                    </a:xfrm>
                    <a:prstGeom prst="rect">
                      <a:avLst/>
                    </a:prstGeom>
                    <a:noFill/>
                  </pic:spPr>
                </pic:pic>
              </a:graphicData>
            </a:graphic>
          </wp:inline>
        </w:drawing>
      </w:r>
    </w:p>
    <w:p w:rsidR="002D5EE2" w:rsidRDefault="002D5EE2">
      <w:pPr>
        <w:spacing w:after="200" w:line="276" w:lineRule="auto"/>
      </w:pPr>
      <w:r>
        <w:br w:type="page"/>
      </w:r>
    </w:p>
    <w:p w:rsidR="002D5EE2" w:rsidRDefault="002D5EE2" w:rsidP="002D5EE2">
      <w:pPr>
        <w:spacing w:after="200" w:line="276" w:lineRule="auto"/>
      </w:pPr>
      <w:r>
        <w:t>Original 2008 to 2011 spider diagram for Scotland versus five Arc of Prosperity countries</w:t>
      </w:r>
    </w:p>
    <w:p w:rsidR="002D5EE2" w:rsidRDefault="002D5EE2" w:rsidP="000C3F33">
      <w:pPr>
        <w:spacing w:after="200" w:line="276" w:lineRule="auto"/>
      </w:pPr>
      <w:r>
        <w:rPr>
          <w:noProof/>
          <w:lang w:eastAsia="en-GB"/>
        </w:rPr>
        <w:drawing>
          <wp:inline distT="0" distB="0" distL="0" distR="0" wp14:anchorId="64DC2A51">
            <wp:extent cx="5770182" cy="37623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0181" cy="3762374"/>
                    </a:xfrm>
                    <a:prstGeom prst="rect">
                      <a:avLst/>
                    </a:prstGeom>
                    <a:noFill/>
                  </pic:spPr>
                </pic:pic>
              </a:graphicData>
            </a:graphic>
          </wp:inline>
        </w:drawing>
      </w:r>
    </w:p>
    <w:p w:rsidR="002D5EE2" w:rsidRDefault="002D5EE2" w:rsidP="002D5EE2">
      <w:pPr>
        <w:spacing w:after="0" w:line="276" w:lineRule="auto"/>
      </w:pPr>
    </w:p>
    <w:p w:rsidR="002D5EE2" w:rsidRDefault="002D5EE2">
      <w:pPr>
        <w:spacing w:after="200" w:line="276" w:lineRule="auto"/>
      </w:pPr>
      <w:r>
        <w:t xml:space="preserve">Revised 2008 to 2011 spider diagram for Scotland versus </w:t>
      </w:r>
      <w:r w:rsidRPr="002D5EE2">
        <w:t xml:space="preserve">five Arc of Prosperity countries </w:t>
      </w:r>
    </w:p>
    <w:p w:rsidR="002D5EE2" w:rsidRDefault="002D5EE2">
      <w:pPr>
        <w:spacing w:after="200" w:line="276" w:lineRule="auto"/>
      </w:pPr>
      <w:r>
        <w:rPr>
          <w:noProof/>
          <w:lang w:eastAsia="en-GB"/>
        </w:rPr>
        <w:drawing>
          <wp:inline distT="0" distB="0" distL="0" distR="0" wp14:anchorId="1286A5A2">
            <wp:extent cx="5770182" cy="37623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3291" cy="3764402"/>
                    </a:xfrm>
                    <a:prstGeom prst="rect">
                      <a:avLst/>
                    </a:prstGeom>
                    <a:noFill/>
                  </pic:spPr>
                </pic:pic>
              </a:graphicData>
            </a:graphic>
          </wp:inline>
        </w:drawing>
      </w:r>
    </w:p>
    <w:p w:rsidR="002D5EE2" w:rsidRDefault="002D5EE2">
      <w:pPr>
        <w:spacing w:after="200" w:line="276" w:lineRule="auto"/>
      </w:pPr>
      <w:r>
        <w:br w:type="page"/>
      </w:r>
    </w:p>
    <w:p w:rsidR="002D5EE2" w:rsidRDefault="002D5EE2" w:rsidP="002D5EE2">
      <w:pPr>
        <w:spacing w:after="200" w:line="276" w:lineRule="auto"/>
      </w:pPr>
      <w:r>
        <w:t>Original 2008 to 2011 spider diagram for Scotland versus three home nations</w:t>
      </w:r>
    </w:p>
    <w:p w:rsidR="002D5EE2" w:rsidRDefault="002D5EE2" w:rsidP="002D5EE2">
      <w:pPr>
        <w:spacing w:after="200" w:line="276" w:lineRule="auto"/>
      </w:pPr>
      <w:r>
        <w:rPr>
          <w:noProof/>
          <w:lang w:eastAsia="en-GB"/>
        </w:rPr>
        <w:drawing>
          <wp:inline distT="0" distB="0" distL="0" distR="0" wp14:anchorId="39B9671F">
            <wp:extent cx="5723933" cy="373221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2735" cy="3731437"/>
                    </a:xfrm>
                    <a:prstGeom prst="rect">
                      <a:avLst/>
                    </a:prstGeom>
                    <a:noFill/>
                  </pic:spPr>
                </pic:pic>
              </a:graphicData>
            </a:graphic>
          </wp:inline>
        </w:drawing>
      </w:r>
    </w:p>
    <w:p w:rsidR="002D5EE2" w:rsidRDefault="002D5EE2" w:rsidP="002D5EE2">
      <w:pPr>
        <w:spacing w:after="200" w:line="276" w:lineRule="auto"/>
      </w:pPr>
      <w:r>
        <w:t xml:space="preserve">Revised 2008 to 2011 spider diagram for Scotland versus </w:t>
      </w:r>
      <w:r w:rsidRPr="002D5EE2">
        <w:t>three home nations</w:t>
      </w:r>
    </w:p>
    <w:p w:rsidR="00506165" w:rsidRDefault="002D5EE2">
      <w:pPr>
        <w:spacing w:after="200" w:line="276" w:lineRule="auto"/>
      </w:pPr>
      <w:r>
        <w:rPr>
          <w:noProof/>
          <w:lang w:eastAsia="en-GB"/>
        </w:rPr>
        <w:drawing>
          <wp:inline distT="0" distB="0" distL="0" distR="0" wp14:anchorId="0F1EB75C">
            <wp:extent cx="5724525" cy="373260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723" cy="3733386"/>
                    </a:xfrm>
                    <a:prstGeom prst="rect">
                      <a:avLst/>
                    </a:prstGeom>
                    <a:noFill/>
                  </pic:spPr>
                </pic:pic>
              </a:graphicData>
            </a:graphic>
          </wp:inline>
        </w:drawing>
      </w:r>
      <w:r w:rsidR="00506165">
        <w:br w:type="page"/>
      </w:r>
    </w:p>
    <w:p w:rsidR="00FB0884" w:rsidRPr="00E33C4E" w:rsidRDefault="00FB0884" w:rsidP="00FB0884">
      <w:pPr>
        <w:pStyle w:val="Heading1"/>
        <w:rPr>
          <w:rFonts w:asciiTheme="minorHAnsi" w:hAnsiTheme="minorHAnsi"/>
          <w:color w:val="auto"/>
          <w:sz w:val="24"/>
          <w:szCs w:val="24"/>
        </w:rPr>
      </w:pPr>
      <w:bookmarkStart w:id="1" w:name="_Toc372179625"/>
      <w:bookmarkStart w:id="2" w:name="_Toc479674806"/>
      <w:r w:rsidRPr="00E33C4E">
        <w:rPr>
          <w:rFonts w:asciiTheme="minorHAnsi" w:hAnsiTheme="minorHAnsi"/>
          <w:color w:val="auto"/>
          <w:sz w:val="24"/>
          <w:szCs w:val="24"/>
        </w:rPr>
        <w:t xml:space="preserve">Appendix 2 </w:t>
      </w:r>
      <w:r w:rsidR="00024C04">
        <w:rPr>
          <w:rFonts w:asciiTheme="minorHAnsi" w:hAnsiTheme="minorHAnsi"/>
          <w:color w:val="auto"/>
          <w:sz w:val="24"/>
          <w:szCs w:val="24"/>
        </w:rPr>
        <w:t xml:space="preserve">GEDI </w:t>
      </w:r>
      <w:r w:rsidR="00024C04" w:rsidRPr="00E33C4E">
        <w:rPr>
          <w:rFonts w:asciiTheme="minorHAnsi" w:hAnsiTheme="minorHAnsi"/>
          <w:color w:val="auto"/>
          <w:sz w:val="24"/>
          <w:szCs w:val="24"/>
        </w:rPr>
        <w:t xml:space="preserve">Methodology </w:t>
      </w:r>
      <w:r w:rsidR="00024C04">
        <w:rPr>
          <w:rFonts w:asciiTheme="minorHAnsi" w:hAnsiTheme="minorHAnsi"/>
          <w:color w:val="auto"/>
          <w:sz w:val="24"/>
          <w:szCs w:val="24"/>
        </w:rPr>
        <w:t xml:space="preserve">and </w:t>
      </w:r>
      <w:r w:rsidRPr="00E33C4E">
        <w:rPr>
          <w:rFonts w:asciiTheme="minorHAnsi" w:hAnsiTheme="minorHAnsi"/>
          <w:color w:val="auto"/>
          <w:sz w:val="24"/>
          <w:szCs w:val="24"/>
        </w:rPr>
        <w:t xml:space="preserve">Calculation of the Scores for Scotland </w:t>
      </w:r>
    </w:p>
    <w:p w:rsidR="00FB0884" w:rsidRDefault="00FB0884" w:rsidP="00FB0884">
      <w:pPr>
        <w:spacing w:line="240" w:lineRule="auto"/>
        <w:contextualSpacing/>
        <w:rPr>
          <w:rFonts w:eastAsia="Times New Roman"/>
          <w:sz w:val="24"/>
          <w:szCs w:val="24"/>
          <w:lang w:val="en-US" w:eastAsia="hu-HU"/>
        </w:rPr>
      </w:pPr>
    </w:p>
    <w:p w:rsidR="00FB0884" w:rsidRPr="00FB0884" w:rsidRDefault="00FF6E88" w:rsidP="00FB0884">
      <w:pPr>
        <w:spacing w:line="240" w:lineRule="auto"/>
        <w:contextualSpacing/>
        <w:rPr>
          <w:rFonts w:eastAsia="Times New Roman"/>
          <w:b/>
          <w:sz w:val="24"/>
          <w:szCs w:val="24"/>
          <w:lang w:val="en-US" w:eastAsia="hu-HU"/>
        </w:rPr>
      </w:pPr>
      <w:r>
        <w:rPr>
          <w:rFonts w:eastAsia="Times New Roman"/>
          <w:b/>
          <w:sz w:val="24"/>
          <w:szCs w:val="24"/>
          <w:lang w:val="en-US" w:eastAsia="hu-HU"/>
        </w:rPr>
        <w:t xml:space="preserve">Appendix 2.1 </w:t>
      </w:r>
      <w:r w:rsidR="00FB0884" w:rsidRPr="00FB0884">
        <w:rPr>
          <w:rFonts w:eastAsia="Times New Roman"/>
          <w:b/>
          <w:sz w:val="24"/>
          <w:szCs w:val="24"/>
          <w:lang w:val="en-US" w:eastAsia="hu-HU"/>
        </w:rPr>
        <w:t>Country sample</w:t>
      </w:r>
    </w:p>
    <w:p w:rsidR="00FB0884" w:rsidRDefault="00525E23" w:rsidP="00FB0884">
      <w:pPr>
        <w:spacing w:line="240" w:lineRule="auto"/>
        <w:contextualSpacing/>
        <w:rPr>
          <w:rFonts w:eastAsia="Times New Roman"/>
          <w:sz w:val="24"/>
          <w:szCs w:val="24"/>
          <w:lang w:val="en-US" w:eastAsia="hu-HU"/>
        </w:rPr>
      </w:pPr>
      <w:r>
        <w:rPr>
          <w:rFonts w:eastAsia="Times New Roman"/>
          <w:sz w:val="24"/>
          <w:szCs w:val="24"/>
          <w:lang w:val="en-US" w:eastAsia="hu-HU"/>
        </w:rPr>
        <w:t>Of</w:t>
      </w:r>
      <w:r w:rsidR="00FB0884">
        <w:rPr>
          <w:rFonts w:eastAsia="Times New Roman"/>
          <w:sz w:val="24"/>
          <w:szCs w:val="24"/>
          <w:lang w:val="en-US" w:eastAsia="hu-HU"/>
        </w:rPr>
        <w:t xml:space="preserve"> the 83 countries available for </w:t>
      </w:r>
      <w:r>
        <w:rPr>
          <w:rFonts w:eastAsia="Times New Roman"/>
          <w:sz w:val="24"/>
          <w:szCs w:val="24"/>
          <w:lang w:val="en-US" w:eastAsia="hu-HU"/>
        </w:rPr>
        <w:t>2008 to 2011</w:t>
      </w:r>
      <w:r w:rsidR="00FB0884">
        <w:rPr>
          <w:rFonts w:eastAsia="Times New Roman"/>
          <w:sz w:val="24"/>
          <w:szCs w:val="24"/>
          <w:lang w:val="en-US" w:eastAsia="hu-HU"/>
        </w:rPr>
        <w:t xml:space="preserve"> we have data for only 73 in </w:t>
      </w:r>
      <w:r>
        <w:rPr>
          <w:rFonts w:eastAsia="Times New Roman"/>
          <w:sz w:val="24"/>
          <w:szCs w:val="24"/>
          <w:lang w:val="en-US" w:eastAsia="hu-HU"/>
        </w:rPr>
        <w:t>2012 to 2015</w:t>
      </w:r>
      <w:r w:rsidR="00FB0884">
        <w:rPr>
          <w:rFonts w:eastAsia="Times New Roman"/>
          <w:sz w:val="24"/>
          <w:szCs w:val="24"/>
          <w:lang w:val="en-US" w:eastAsia="hu-HU"/>
        </w:rPr>
        <w:t>. Since we intended to use as much data as possible we substituted the missing country data with similar type of countries in the second time period: Suriname</w:t>
      </w:r>
      <w:r w:rsidR="00FB0884" w:rsidRPr="002E366B">
        <w:rPr>
          <w:rFonts w:eastAsia="Times New Roman"/>
          <w:sz w:val="24"/>
          <w:szCs w:val="24"/>
          <w:lang w:val="en-US" w:eastAsia="hu-HU"/>
        </w:rPr>
        <w:t xml:space="preserve"> for Domin</w:t>
      </w:r>
      <w:r>
        <w:rPr>
          <w:rFonts w:eastAsia="Times New Roman"/>
          <w:sz w:val="24"/>
          <w:szCs w:val="24"/>
          <w:lang w:val="en-US" w:eastAsia="hu-HU"/>
        </w:rPr>
        <w:t>i</w:t>
      </w:r>
      <w:r w:rsidR="00FB0884" w:rsidRPr="002E366B">
        <w:rPr>
          <w:rFonts w:eastAsia="Times New Roman"/>
          <w:sz w:val="24"/>
          <w:szCs w:val="24"/>
          <w:lang w:val="en-US" w:eastAsia="hu-HU"/>
        </w:rPr>
        <w:t>can Republic, Bulgaria for Serbia, Luxemb</w:t>
      </w:r>
      <w:r w:rsidR="00FB0884">
        <w:rPr>
          <w:rFonts w:eastAsia="Times New Roman"/>
          <w:sz w:val="24"/>
          <w:szCs w:val="24"/>
          <w:lang w:val="en-US" w:eastAsia="hu-HU"/>
        </w:rPr>
        <w:t>ourg for Iceland,  Li</w:t>
      </w:r>
      <w:r w:rsidR="00FB0884" w:rsidRPr="002E366B">
        <w:rPr>
          <w:rFonts w:eastAsia="Times New Roman"/>
          <w:sz w:val="24"/>
          <w:szCs w:val="24"/>
          <w:lang w:val="en-US" w:eastAsia="hu-HU"/>
        </w:rPr>
        <w:t>b</w:t>
      </w:r>
      <w:r w:rsidR="00FB0884">
        <w:rPr>
          <w:rFonts w:eastAsia="Times New Roman"/>
          <w:sz w:val="24"/>
          <w:szCs w:val="24"/>
          <w:lang w:val="en-US" w:eastAsia="hu-HU"/>
        </w:rPr>
        <w:t>y</w:t>
      </w:r>
      <w:r w:rsidR="00FB0884" w:rsidRPr="002E366B">
        <w:rPr>
          <w:rFonts w:eastAsia="Times New Roman"/>
          <w:sz w:val="24"/>
          <w:szCs w:val="24"/>
          <w:lang w:val="en-US" w:eastAsia="hu-HU"/>
        </w:rPr>
        <w:t>a for Syria, Vietnam for Banglades</w:t>
      </w:r>
      <w:r w:rsidR="00FB0884">
        <w:rPr>
          <w:rFonts w:eastAsia="Times New Roman"/>
          <w:sz w:val="24"/>
          <w:szCs w:val="24"/>
          <w:lang w:val="en-US" w:eastAsia="hu-HU"/>
        </w:rPr>
        <w:t>h</w:t>
      </w:r>
      <w:r w:rsidR="00FB0884" w:rsidRPr="002E366B">
        <w:rPr>
          <w:rFonts w:eastAsia="Times New Roman"/>
          <w:sz w:val="24"/>
          <w:szCs w:val="24"/>
          <w:lang w:val="en-US" w:eastAsia="hu-HU"/>
        </w:rPr>
        <w:t>, and Qatar for U</w:t>
      </w:r>
      <w:r w:rsidR="00A733A7">
        <w:rPr>
          <w:rFonts w:eastAsia="Times New Roman"/>
          <w:sz w:val="24"/>
          <w:szCs w:val="24"/>
          <w:lang w:val="en-US" w:eastAsia="hu-HU"/>
        </w:rPr>
        <w:t>nited Arab Emirates</w:t>
      </w:r>
      <w:r w:rsidR="00FB0884" w:rsidRPr="002E366B">
        <w:rPr>
          <w:rFonts w:eastAsia="Times New Roman"/>
          <w:sz w:val="24"/>
          <w:szCs w:val="24"/>
          <w:lang w:val="en-US" w:eastAsia="hu-HU"/>
        </w:rPr>
        <w:t xml:space="preserve">. </w:t>
      </w:r>
      <w:r w:rsidR="00A733A7">
        <w:rPr>
          <w:rFonts w:eastAsia="Times New Roman"/>
          <w:sz w:val="24"/>
          <w:szCs w:val="24"/>
          <w:lang w:val="en-US" w:eastAsia="hu-HU"/>
        </w:rPr>
        <w:t>W</w:t>
      </w:r>
      <w:r w:rsidR="00FB0884" w:rsidRPr="002E366B">
        <w:rPr>
          <w:rFonts w:eastAsia="Times New Roman"/>
          <w:sz w:val="24"/>
          <w:szCs w:val="24"/>
          <w:lang w:val="en-US" w:eastAsia="hu-HU"/>
        </w:rPr>
        <w:t xml:space="preserve">e </w:t>
      </w:r>
      <w:r w:rsidR="00A733A7">
        <w:rPr>
          <w:rFonts w:eastAsia="Times New Roman"/>
          <w:sz w:val="24"/>
          <w:szCs w:val="24"/>
          <w:lang w:val="en-US" w:eastAsia="hu-HU"/>
        </w:rPr>
        <w:t>excluded on</w:t>
      </w:r>
      <w:r w:rsidR="00FB0884" w:rsidRPr="002E366B">
        <w:rPr>
          <w:rFonts w:eastAsia="Times New Roman"/>
          <w:sz w:val="24"/>
          <w:szCs w:val="24"/>
          <w:lang w:val="en-US" w:eastAsia="hu-HU"/>
        </w:rPr>
        <w:t>ly four countries</w:t>
      </w:r>
      <w:r w:rsidR="00A733A7" w:rsidRPr="00A733A7">
        <w:rPr>
          <w:rFonts w:eastAsia="Times New Roman"/>
          <w:sz w:val="24"/>
          <w:szCs w:val="24"/>
          <w:lang w:val="en-US" w:eastAsia="hu-HU"/>
        </w:rPr>
        <w:t xml:space="preserve"> </w:t>
      </w:r>
      <w:r w:rsidR="00A733A7">
        <w:rPr>
          <w:rFonts w:eastAsia="Times New Roman"/>
          <w:sz w:val="24"/>
          <w:szCs w:val="24"/>
          <w:lang w:val="en-US" w:eastAsia="hu-HU"/>
        </w:rPr>
        <w:t>for which good substitutes were not available:</w:t>
      </w:r>
      <w:r w:rsidR="00FB0884" w:rsidRPr="002E366B">
        <w:rPr>
          <w:rFonts w:eastAsia="Times New Roman"/>
          <w:sz w:val="24"/>
          <w:szCs w:val="24"/>
          <w:lang w:val="en-US" w:eastAsia="hu-HU"/>
        </w:rPr>
        <w:t xml:space="preserve"> Hong Kong, Jordan, Montenegro, </w:t>
      </w:r>
      <w:r w:rsidR="00FB0884">
        <w:rPr>
          <w:rFonts w:eastAsia="Times New Roman"/>
          <w:sz w:val="24"/>
          <w:szCs w:val="24"/>
          <w:lang w:val="en-US" w:eastAsia="hu-HU"/>
        </w:rPr>
        <w:t xml:space="preserve">and </w:t>
      </w:r>
      <w:r w:rsidR="00FB0884" w:rsidRPr="002E366B">
        <w:rPr>
          <w:rFonts w:eastAsia="Times New Roman"/>
          <w:sz w:val="24"/>
          <w:szCs w:val="24"/>
          <w:lang w:val="en-US" w:eastAsia="hu-HU"/>
        </w:rPr>
        <w:t>Saudi Arabia</w:t>
      </w:r>
      <w:r w:rsidR="00FB0884">
        <w:rPr>
          <w:rFonts w:eastAsia="Times New Roman"/>
          <w:sz w:val="24"/>
          <w:szCs w:val="24"/>
          <w:lang w:val="en-US" w:eastAsia="hu-HU"/>
        </w:rPr>
        <w:t xml:space="preserve">. Therefore the composition of countries in terms of development </w:t>
      </w:r>
      <w:r>
        <w:rPr>
          <w:rFonts w:eastAsia="Times New Roman"/>
          <w:sz w:val="24"/>
          <w:szCs w:val="24"/>
          <w:lang w:val="en-US" w:eastAsia="hu-HU"/>
        </w:rPr>
        <w:t>is</w:t>
      </w:r>
      <w:r w:rsidR="00FB0884">
        <w:rPr>
          <w:rFonts w:eastAsia="Times New Roman"/>
          <w:sz w:val="24"/>
          <w:szCs w:val="24"/>
          <w:lang w:val="en-US" w:eastAsia="hu-HU"/>
        </w:rPr>
        <w:t xml:space="preserve"> </w:t>
      </w:r>
      <w:r w:rsidR="00A733A7">
        <w:rPr>
          <w:rFonts w:eastAsia="Times New Roman"/>
          <w:sz w:val="24"/>
          <w:szCs w:val="24"/>
          <w:lang w:val="en-US" w:eastAsia="hu-HU"/>
        </w:rPr>
        <w:t xml:space="preserve">broadly </w:t>
      </w:r>
      <w:r w:rsidR="00FB0884">
        <w:rPr>
          <w:rFonts w:eastAsia="Times New Roman"/>
          <w:sz w:val="24"/>
          <w:szCs w:val="24"/>
          <w:lang w:val="en-US" w:eastAsia="hu-HU"/>
        </w:rPr>
        <w:t>the same</w:t>
      </w:r>
      <w:r w:rsidR="00A733A7">
        <w:rPr>
          <w:rFonts w:eastAsia="Times New Roman"/>
          <w:sz w:val="24"/>
          <w:szCs w:val="24"/>
          <w:lang w:val="en-US" w:eastAsia="hu-HU"/>
        </w:rPr>
        <w:t xml:space="preserve"> over the two periods</w:t>
      </w:r>
      <w:r w:rsidR="00FB0884" w:rsidRPr="002E366B">
        <w:rPr>
          <w:rFonts w:eastAsia="Times New Roman"/>
          <w:sz w:val="24"/>
          <w:szCs w:val="24"/>
          <w:lang w:val="en-US" w:eastAsia="hu-HU"/>
        </w:rPr>
        <w:t>.</w:t>
      </w:r>
    </w:p>
    <w:p w:rsidR="00FB0884" w:rsidRDefault="00FB0884" w:rsidP="00FB0884">
      <w:pPr>
        <w:spacing w:line="240" w:lineRule="auto"/>
        <w:contextualSpacing/>
        <w:rPr>
          <w:rFonts w:eastAsia="Times New Roman"/>
          <w:sz w:val="24"/>
          <w:szCs w:val="24"/>
          <w:lang w:val="en-US" w:eastAsia="hu-HU"/>
        </w:rPr>
      </w:pPr>
    </w:p>
    <w:p w:rsidR="00FB0884" w:rsidRPr="002E366B" w:rsidRDefault="00FB0884" w:rsidP="00FB0884">
      <w:pPr>
        <w:spacing w:line="240" w:lineRule="auto"/>
        <w:contextualSpacing/>
        <w:rPr>
          <w:rFonts w:eastAsia="Times New Roman"/>
          <w:b/>
          <w:sz w:val="24"/>
          <w:szCs w:val="24"/>
          <w:lang w:val="en-US" w:eastAsia="hu-HU"/>
        </w:rPr>
      </w:pPr>
      <w:r w:rsidRPr="002E366B">
        <w:rPr>
          <w:rFonts w:eastAsia="Times New Roman"/>
          <w:b/>
          <w:sz w:val="24"/>
          <w:szCs w:val="24"/>
          <w:lang w:val="en-US" w:eastAsia="hu-HU"/>
        </w:rPr>
        <w:t xml:space="preserve">Table 1: </w:t>
      </w:r>
      <w:r w:rsidR="00A733A7">
        <w:rPr>
          <w:rFonts w:eastAsia="Times New Roman"/>
          <w:b/>
          <w:sz w:val="24"/>
          <w:szCs w:val="24"/>
          <w:lang w:val="en-US" w:eastAsia="hu-HU"/>
        </w:rPr>
        <w:t>Sample</w:t>
      </w:r>
      <w:r w:rsidRPr="002E366B">
        <w:rPr>
          <w:rFonts w:eastAsia="Times New Roman"/>
          <w:b/>
          <w:sz w:val="24"/>
          <w:szCs w:val="24"/>
          <w:lang w:val="en-US" w:eastAsia="hu-HU"/>
        </w:rPr>
        <w:t xml:space="preserve"> countries, and data availability</w:t>
      </w:r>
    </w:p>
    <w:p w:rsidR="00FB0884" w:rsidRDefault="00FB0884" w:rsidP="00FB0884">
      <w:pPr>
        <w:spacing w:line="240" w:lineRule="auto"/>
        <w:contextualSpacing/>
        <w:rPr>
          <w:rFonts w:eastAsia="Times New Roman"/>
          <w:sz w:val="24"/>
          <w:szCs w:val="24"/>
          <w:lang w:val="en-US" w:eastAsia="hu-HU"/>
        </w:rPr>
      </w:pPr>
    </w:p>
    <w:tbl>
      <w:tblPr>
        <w:tblW w:w="9300" w:type="dxa"/>
        <w:tblInd w:w="55" w:type="dxa"/>
        <w:tblCellMar>
          <w:left w:w="70" w:type="dxa"/>
          <w:right w:w="70" w:type="dxa"/>
        </w:tblCellMar>
        <w:tblLook w:val="04A0" w:firstRow="1" w:lastRow="0" w:firstColumn="1" w:lastColumn="0" w:noHBand="0" w:noVBand="1"/>
      </w:tblPr>
      <w:tblGrid>
        <w:gridCol w:w="2080"/>
        <w:gridCol w:w="2620"/>
        <w:gridCol w:w="1978"/>
        <w:gridCol w:w="2622"/>
      </w:tblGrid>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Countries</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Data Availability 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Countries</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Data availability 2012-2015</w:t>
            </w:r>
          </w:p>
        </w:tc>
      </w:tr>
      <w:tr w:rsidR="00FB0884" w:rsidRPr="00525E23" w:rsidTr="00A733A7">
        <w:trPr>
          <w:trHeight w:val="300"/>
        </w:trPr>
        <w:tc>
          <w:tcPr>
            <w:tcW w:w="2080" w:type="dxa"/>
            <w:tcBorders>
              <w:top w:val="single" w:sz="4" w:space="0" w:color="auto"/>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Algeria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2009, 2011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Algeria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2012-2013</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Angola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2010</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Angola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2012-2014</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Argentina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Argentina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Australia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2010-2011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Australia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2014-2015</w:t>
            </w:r>
          </w:p>
        </w:tc>
      </w:tr>
      <w:tr w:rsidR="00FB0884" w:rsidRPr="00525E23" w:rsidTr="00A733A7">
        <w:trPr>
          <w:trHeight w:val="300"/>
        </w:trPr>
        <w:tc>
          <w:tcPr>
            <w:tcW w:w="2080"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Bangladesh</w:t>
            </w:r>
          </w:p>
        </w:tc>
        <w:tc>
          <w:tcPr>
            <w:tcW w:w="2620"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2011</w:t>
            </w:r>
          </w:p>
        </w:tc>
        <w:tc>
          <w:tcPr>
            <w:tcW w:w="1978"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Vietnam</w:t>
            </w:r>
          </w:p>
        </w:tc>
        <w:tc>
          <w:tcPr>
            <w:tcW w:w="2622"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2013-2014</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Barbados</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Barbados</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Belgium</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Belgium</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Bolivia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2008, 2010</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Bolivia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2014</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Bosnia and Herzegovina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Bosnia and Herzegovina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2012-2014</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Brazil</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Brazil</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Chile</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Chile</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China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2009-2011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China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Colombia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Colombia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Costa Rica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2010</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Costa Rica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2012, 2014</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Croatia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Croatia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Czech</w:t>
            </w:r>
            <w:r w:rsidR="00A733A7" w:rsidRPr="00525E23">
              <w:rPr>
                <w:rFonts w:eastAsia="Times New Roman"/>
                <w:color w:val="000000"/>
                <w:lang w:eastAsia="hu-HU"/>
              </w:rPr>
              <w:t xml:space="preserve"> Republic</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Czech Republic</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2013</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Denmark</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Denmark</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2012, 2014</w:t>
            </w:r>
          </w:p>
        </w:tc>
      </w:tr>
      <w:tr w:rsidR="00FB0884" w:rsidRPr="00525E23" w:rsidTr="00A733A7">
        <w:trPr>
          <w:trHeight w:val="300"/>
        </w:trPr>
        <w:tc>
          <w:tcPr>
            <w:tcW w:w="2080"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Dominican Republic</w:t>
            </w:r>
          </w:p>
        </w:tc>
        <w:tc>
          <w:tcPr>
            <w:tcW w:w="2620"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2008-2009</w:t>
            </w:r>
          </w:p>
        </w:tc>
        <w:tc>
          <w:tcPr>
            <w:tcW w:w="1978"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Suriname</w:t>
            </w:r>
          </w:p>
        </w:tc>
        <w:tc>
          <w:tcPr>
            <w:tcW w:w="2622"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2013-2014</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Ecuador</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2008-2010</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Ecuador</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Egypt</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2008, 2010</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Egypt</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2012, 2015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Finland</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Finland</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France</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France</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2012-2014</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Germany</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Germany</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Ghana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2010</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Ghana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2012-2013</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Greece</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Greece</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Guatemala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2009-2011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Guatemala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2013-2015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Hungary</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Hungary</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Iceland</w:t>
            </w:r>
          </w:p>
        </w:tc>
        <w:tc>
          <w:tcPr>
            <w:tcW w:w="2620"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2008-2010</w:t>
            </w:r>
          </w:p>
        </w:tc>
        <w:tc>
          <w:tcPr>
            <w:tcW w:w="1978"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Luxembourg</w:t>
            </w:r>
          </w:p>
        </w:tc>
        <w:tc>
          <w:tcPr>
            <w:tcW w:w="2622"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2013-2015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India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India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2013-2015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Iran</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2008-2010</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Iran</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Ireland</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 2010-2011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Ireland</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Israel</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2008-2010</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Israel</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2012-2013, 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Italy</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2008-2010</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Italy</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Jamaica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Jamaica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2013-2014</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Japan</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Japan</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2012-2014</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Korea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Korea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2012-2013, 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Latvia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Latvia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2012-2013, 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Lebanon</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2009</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Lebanon</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Lithuania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Lithuania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2012-2014</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Macedonia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2008, 2010</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Macedonia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2012-2013, 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Malaysia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2009-2011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Malaysia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Mexico</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 2010-2011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Mexico</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Morocco</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2009</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Morocco</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Netherlands</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Netherlands</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Nigeria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Nigeria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2012-2013</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Norway</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Norway</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Pakistan</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2010-2011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Pakistan</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Panama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2009, 2011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Panama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Peru</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Peru</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Poland</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Poland</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Portugal</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2010-2011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Portugal</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Romania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Romania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Russia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Russia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2012-2014</w:t>
            </w:r>
          </w:p>
        </w:tc>
      </w:tr>
      <w:tr w:rsidR="00FB0884" w:rsidRPr="00525E23" w:rsidTr="00A733A7">
        <w:trPr>
          <w:trHeight w:val="300"/>
        </w:trPr>
        <w:tc>
          <w:tcPr>
            <w:tcW w:w="2080"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Serbia</w:t>
            </w:r>
          </w:p>
        </w:tc>
        <w:tc>
          <w:tcPr>
            <w:tcW w:w="2620"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2008-2009</w:t>
            </w:r>
          </w:p>
        </w:tc>
        <w:tc>
          <w:tcPr>
            <w:tcW w:w="1978"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Bulgaria</w:t>
            </w:r>
          </w:p>
        </w:tc>
        <w:tc>
          <w:tcPr>
            <w:tcW w:w="2622"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Singapore</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Singapore</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2012-2014</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Slovakia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Slovakia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Slovenia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Slovenia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South Africa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South Africa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Spain</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Spain</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Sweden</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2010-2011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Sweden</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Switzerland</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2009-2011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Switzerland</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Syria</w:t>
            </w:r>
          </w:p>
        </w:tc>
        <w:tc>
          <w:tcPr>
            <w:tcW w:w="2620"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2009</w:t>
            </w:r>
          </w:p>
        </w:tc>
        <w:tc>
          <w:tcPr>
            <w:tcW w:w="1978"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Libya</w:t>
            </w:r>
          </w:p>
        </w:tc>
        <w:tc>
          <w:tcPr>
            <w:tcW w:w="2622" w:type="dxa"/>
            <w:tcBorders>
              <w:top w:val="nil"/>
              <w:left w:val="nil"/>
              <w:bottom w:val="nil"/>
              <w:right w:val="nil"/>
            </w:tcBorders>
            <w:shd w:val="clear" w:color="000000" w:fill="DAEEF3"/>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2013</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Taiwan</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2010-2011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Taiwan</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Thailand</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Thailand</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Trinidad and Tobago</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2010-2011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Trinidad &amp; Tobago</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2012-2014</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Tunisia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2009-2010</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Tunisia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2012, 2015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Turkey</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 2010-2011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Turkey</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2012-2013</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Uganda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2009-2010</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Uganda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2012-2014</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UAE</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2009, 2011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Qatar</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2014</w:t>
            </w:r>
          </w:p>
        </w:tc>
      </w:tr>
      <w:tr w:rsidR="00FB0884" w:rsidRPr="00525E23" w:rsidTr="00A733A7">
        <w:trPr>
          <w:trHeight w:val="300"/>
        </w:trPr>
        <w:tc>
          <w:tcPr>
            <w:tcW w:w="2080"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United Kingdom (full)</w:t>
            </w:r>
          </w:p>
        </w:tc>
        <w:tc>
          <w:tcPr>
            <w:tcW w:w="2620"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themeColor="background1"/>
                <w:lang w:eastAsia="hu-HU"/>
              </w:rPr>
            </w:pPr>
            <w:r w:rsidRPr="00525E23">
              <w:rPr>
                <w:rFonts w:eastAsia="Times New Roman"/>
                <w:color w:val="FFFFFF" w:themeColor="background1"/>
                <w:lang w:eastAsia="hu-HU"/>
              </w:rPr>
              <w:t> </w:t>
            </w:r>
            <w:r w:rsidR="00A733A7" w:rsidRPr="00525E23">
              <w:rPr>
                <w:rFonts w:eastAsia="Times New Roman"/>
                <w:color w:val="FFFFFF" w:themeColor="background1"/>
                <w:lang w:eastAsia="hu-HU"/>
              </w:rPr>
              <w:t>2008-2011</w:t>
            </w:r>
          </w:p>
        </w:tc>
        <w:tc>
          <w:tcPr>
            <w:tcW w:w="1978"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United Kingdom (full)</w:t>
            </w:r>
          </w:p>
        </w:tc>
        <w:tc>
          <w:tcPr>
            <w:tcW w:w="2622"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2012-2015</w:t>
            </w:r>
          </w:p>
        </w:tc>
      </w:tr>
      <w:tr w:rsidR="00FB0884" w:rsidRPr="00525E23" w:rsidTr="00A733A7">
        <w:trPr>
          <w:trHeight w:val="300"/>
        </w:trPr>
        <w:tc>
          <w:tcPr>
            <w:tcW w:w="2080"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England</w:t>
            </w:r>
          </w:p>
        </w:tc>
        <w:tc>
          <w:tcPr>
            <w:tcW w:w="2620"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themeColor="background1"/>
                <w:lang w:eastAsia="hu-HU"/>
              </w:rPr>
            </w:pPr>
            <w:r w:rsidRPr="00525E23">
              <w:rPr>
                <w:rFonts w:eastAsia="Times New Roman"/>
                <w:color w:val="FFFFFF" w:themeColor="background1"/>
                <w:lang w:eastAsia="hu-HU"/>
              </w:rPr>
              <w:t> </w:t>
            </w:r>
            <w:r w:rsidR="00A733A7" w:rsidRPr="00525E23">
              <w:rPr>
                <w:rFonts w:eastAsia="Times New Roman"/>
                <w:color w:val="FFFFFF" w:themeColor="background1"/>
                <w:lang w:eastAsia="hu-HU"/>
              </w:rPr>
              <w:t>2008-2011</w:t>
            </w:r>
          </w:p>
        </w:tc>
        <w:tc>
          <w:tcPr>
            <w:tcW w:w="1978"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England</w:t>
            </w:r>
          </w:p>
        </w:tc>
        <w:tc>
          <w:tcPr>
            <w:tcW w:w="2622"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2012-2015</w:t>
            </w:r>
          </w:p>
        </w:tc>
      </w:tr>
      <w:tr w:rsidR="00FB0884" w:rsidRPr="00525E23" w:rsidTr="00A733A7">
        <w:trPr>
          <w:trHeight w:val="300"/>
        </w:trPr>
        <w:tc>
          <w:tcPr>
            <w:tcW w:w="2080"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Wales</w:t>
            </w:r>
          </w:p>
        </w:tc>
        <w:tc>
          <w:tcPr>
            <w:tcW w:w="2620"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themeColor="background1"/>
                <w:lang w:eastAsia="hu-HU"/>
              </w:rPr>
            </w:pPr>
            <w:r w:rsidRPr="00525E23">
              <w:rPr>
                <w:rFonts w:eastAsia="Times New Roman"/>
                <w:color w:val="FFFFFF" w:themeColor="background1"/>
                <w:lang w:eastAsia="hu-HU"/>
              </w:rPr>
              <w:t> </w:t>
            </w:r>
            <w:r w:rsidR="00A733A7" w:rsidRPr="00525E23">
              <w:rPr>
                <w:rFonts w:eastAsia="Times New Roman"/>
                <w:color w:val="FFFFFF" w:themeColor="background1"/>
                <w:lang w:eastAsia="hu-HU"/>
              </w:rPr>
              <w:t>2008-2011</w:t>
            </w:r>
          </w:p>
        </w:tc>
        <w:tc>
          <w:tcPr>
            <w:tcW w:w="1978"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Wales</w:t>
            </w:r>
          </w:p>
        </w:tc>
        <w:tc>
          <w:tcPr>
            <w:tcW w:w="2622"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2012-2015</w:t>
            </w:r>
          </w:p>
        </w:tc>
      </w:tr>
      <w:tr w:rsidR="00FB0884" w:rsidRPr="00525E23" w:rsidTr="00A733A7">
        <w:trPr>
          <w:trHeight w:val="300"/>
        </w:trPr>
        <w:tc>
          <w:tcPr>
            <w:tcW w:w="2080"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Scotland</w:t>
            </w:r>
          </w:p>
        </w:tc>
        <w:tc>
          <w:tcPr>
            <w:tcW w:w="2620"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themeColor="background1"/>
                <w:lang w:eastAsia="hu-HU"/>
              </w:rPr>
            </w:pPr>
            <w:r w:rsidRPr="00525E23">
              <w:rPr>
                <w:rFonts w:eastAsia="Times New Roman"/>
                <w:color w:val="FFFFFF" w:themeColor="background1"/>
                <w:lang w:eastAsia="hu-HU"/>
              </w:rPr>
              <w:t> </w:t>
            </w:r>
            <w:r w:rsidR="00A733A7" w:rsidRPr="00525E23">
              <w:rPr>
                <w:rFonts w:eastAsia="Times New Roman"/>
                <w:color w:val="FFFFFF" w:themeColor="background1"/>
                <w:lang w:eastAsia="hu-HU"/>
              </w:rPr>
              <w:t>2008-2011</w:t>
            </w:r>
          </w:p>
        </w:tc>
        <w:tc>
          <w:tcPr>
            <w:tcW w:w="1978"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Scotland</w:t>
            </w:r>
          </w:p>
        </w:tc>
        <w:tc>
          <w:tcPr>
            <w:tcW w:w="2622"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2012-2015</w:t>
            </w:r>
          </w:p>
        </w:tc>
      </w:tr>
      <w:tr w:rsidR="00FB0884" w:rsidRPr="00525E23" w:rsidTr="00A733A7">
        <w:trPr>
          <w:trHeight w:val="300"/>
        </w:trPr>
        <w:tc>
          <w:tcPr>
            <w:tcW w:w="2080"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Northern Ireland</w:t>
            </w:r>
          </w:p>
        </w:tc>
        <w:tc>
          <w:tcPr>
            <w:tcW w:w="2620"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themeColor="background1"/>
                <w:lang w:eastAsia="hu-HU"/>
              </w:rPr>
            </w:pPr>
            <w:r w:rsidRPr="00525E23">
              <w:rPr>
                <w:rFonts w:eastAsia="Times New Roman"/>
                <w:color w:val="FFFFFF" w:themeColor="background1"/>
                <w:lang w:eastAsia="hu-HU"/>
              </w:rPr>
              <w:t> </w:t>
            </w:r>
            <w:r w:rsidR="00A733A7" w:rsidRPr="00525E23">
              <w:rPr>
                <w:rFonts w:eastAsia="Times New Roman"/>
                <w:color w:val="FFFFFF" w:themeColor="background1"/>
                <w:lang w:eastAsia="hu-HU"/>
              </w:rPr>
              <w:t>2008-2011</w:t>
            </w:r>
          </w:p>
        </w:tc>
        <w:tc>
          <w:tcPr>
            <w:tcW w:w="1978"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Northern Ireland</w:t>
            </w:r>
          </w:p>
        </w:tc>
        <w:tc>
          <w:tcPr>
            <w:tcW w:w="2622" w:type="dxa"/>
            <w:tcBorders>
              <w:top w:val="nil"/>
              <w:left w:val="nil"/>
              <w:bottom w:val="nil"/>
              <w:right w:val="nil"/>
            </w:tcBorders>
            <w:shd w:val="clear" w:color="000000" w:fill="60497A"/>
            <w:noWrap/>
            <w:vAlign w:val="bottom"/>
            <w:hideMark/>
          </w:tcPr>
          <w:p w:rsidR="00FB0884" w:rsidRPr="00525E23" w:rsidRDefault="00FB0884" w:rsidP="00525E23">
            <w:pPr>
              <w:spacing w:after="0" w:line="240" w:lineRule="auto"/>
              <w:rPr>
                <w:rFonts w:eastAsia="Times New Roman"/>
                <w:color w:val="FFFFFF"/>
                <w:lang w:eastAsia="hu-HU"/>
              </w:rPr>
            </w:pPr>
            <w:r w:rsidRPr="00525E23">
              <w:rPr>
                <w:rFonts w:eastAsia="Times New Roman"/>
                <w:color w:val="FFFFFF"/>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United States</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United States</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Uruguay</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2008-2011</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Uruguay</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2012-2015</w:t>
            </w:r>
          </w:p>
        </w:tc>
      </w:tr>
      <w:tr w:rsidR="00FB0884" w:rsidRPr="00525E23" w:rsidTr="00A733A7">
        <w:trPr>
          <w:trHeight w:val="300"/>
        </w:trPr>
        <w:tc>
          <w:tcPr>
            <w:tcW w:w="208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color w:val="000000"/>
                <w:lang w:eastAsia="hu-HU"/>
              </w:rPr>
            </w:pPr>
            <w:r w:rsidRPr="00525E23">
              <w:rPr>
                <w:rFonts w:eastAsia="Times New Roman"/>
                <w:color w:val="000000"/>
                <w:lang w:eastAsia="hu-HU"/>
              </w:rPr>
              <w:t>Zambia</w:t>
            </w:r>
          </w:p>
        </w:tc>
        <w:tc>
          <w:tcPr>
            <w:tcW w:w="2620"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2010</w:t>
            </w:r>
          </w:p>
        </w:tc>
        <w:tc>
          <w:tcPr>
            <w:tcW w:w="1978"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Zambia</w:t>
            </w:r>
          </w:p>
        </w:tc>
        <w:tc>
          <w:tcPr>
            <w:tcW w:w="2622" w:type="dxa"/>
            <w:tcBorders>
              <w:top w:val="nil"/>
              <w:left w:val="nil"/>
              <w:bottom w:val="nil"/>
              <w:right w:val="nil"/>
            </w:tcBorders>
            <w:shd w:val="clear" w:color="auto" w:fill="auto"/>
            <w:noWrap/>
            <w:vAlign w:val="bottom"/>
            <w:hideMark/>
          </w:tcPr>
          <w:p w:rsidR="00FB0884" w:rsidRPr="00525E23" w:rsidRDefault="00FB0884" w:rsidP="00525E23">
            <w:pPr>
              <w:spacing w:after="0" w:line="240" w:lineRule="auto"/>
              <w:rPr>
                <w:rFonts w:eastAsia="Times New Roman"/>
                <w:lang w:eastAsia="hu-HU"/>
              </w:rPr>
            </w:pPr>
            <w:r w:rsidRPr="00525E23">
              <w:rPr>
                <w:rFonts w:eastAsia="Times New Roman"/>
                <w:lang w:eastAsia="hu-HU"/>
              </w:rPr>
              <w:t>2012-2013</w:t>
            </w:r>
          </w:p>
        </w:tc>
      </w:tr>
    </w:tbl>
    <w:p w:rsidR="00FB0884" w:rsidRPr="00FF6E88" w:rsidRDefault="00FF6E88" w:rsidP="00FB0884">
      <w:pPr>
        <w:spacing w:line="240" w:lineRule="auto"/>
        <w:contextualSpacing/>
        <w:rPr>
          <w:rFonts w:eastAsia="Times New Roman"/>
          <w:b/>
          <w:sz w:val="24"/>
          <w:szCs w:val="24"/>
          <w:lang w:val="en-US" w:eastAsia="hu-HU"/>
        </w:rPr>
      </w:pPr>
      <w:r w:rsidRPr="00FF6E88">
        <w:rPr>
          <w:rFonts w:eastAsia="Times New Roman"/>
          <w:b/>
          <w:sz w:val="24"/>
          <w:szCs w:val="24"/>
          <w:lang w:val="en-US" w:eastAsia="hu-HU"/>
        </w:rPr>
        <w:t>Appendix 2.2 Methodology</w:t>
      </w:r>
    </w:p>
    <w:p w:rsidR="00FF6E88" w:rsidRDefault="00FF6E88" w:rsidP="00FB0884">
      <w:pPr>
        <w:spacing w:line="240" w:lineRule="auto"/>
        <w:contextualSpacing/>
        <w:rPr>
          <w:rFonts w:eastAsia="Times New Roman"/>
          <w:sz w:val="24"/>
          <w:szCs w:val="24"/>
          <w:lang w:val="en-US" w:eastAsia="hu-HU"/>
        </w:rPr>
      </w:pPr>
    </w:p>
    <w:p w:rsidR="00FB0884" w:rsidRPr="00791A41" w:rsidRDefault="00FB0884" w:rsidP="00FB0884">
      <w:pPr>
        <w:spacing w:line="240" w:lineRule="auto"/>
        <w:contextualSpacing/>
        <w:rPr>
          <w:rFonts w:eastAsia="Times New Roman"/>
          <w:sz w:val="24"/>
          <w:szCs w:val="24"/>
          <w:lang w:val="en-US" w:eastAsia="hu-HU"/>
        </w:rPr>
      </w:pPr>
      <w:r w:rsidRPr="00791A41">
        <w:rPr>
          <w:rFonts w:eastAsia="Times New Roman"/>
          <w:sz w:val="24"/>
          <w:szCs w:val="24"/>
          <w:lang w:val="en-US" w:eastAsia="hu-HU"/>
        </w:rPr>
        <w:t>The GE</w:t>
      </w:r>
      <w:r>
        <w:rPr>
          <w:rFonts w:eastAsia="Times New Roman"/>
          <w:sz w:val="24"/>
          <w:szCs w:val="24"/>
          <w:lang w:val="en-US" w:eastAsia="hu-HU"/>
        </w:rPr>
        <w:t>D</w:t>
      </w:r>
      <w:r w:rsidRPr="00791A41">
        <w:rPr>
          <w:rFonts w:eastAsia="Times New Roman"/>
          <w:sz w:val="24"/>
          <w:szCs w:val="24"/>
          <w:lang w:val="en-US" w:eastAsia="hu-HU"/>
        </w:rPr>
        <w:t>I scores for all</w:t>
      </w:r>
      <w:r>
        <w:rPr>
          <w:rFonts w:eastAsia="Times New Roman"/>
          <w:sz w:val="24"/>
          <w:szCs w:val="24"/>
          <w:lang w:val="en-US" w:eastAsia="hu-HU"/>
        </w:rPr>
        <w:t xml:space="preserve"> </w:t>
      </w:r>
      <w:r w:rsidRPr="00791A41">
        <w:rPr>
          <w:rFonts w:eastAsia="Times New Roman"/>
          <w:sz w:val="24"/>
          <w:szCs w:val="24"/>
          <w:lang w:val="en-US" w:eastAsia="hu-HU"/>
        </w:rPr>
        <w:t xml:space="preserve">countries are calculated according to the following eight points. Note that we </w:t>
      </w:r>
      <w:r>
        <w:rPr>
          <w:rFonts w:eastAsia="Times New Roman"/>
          <w:sz w:val="24"/>
          <w:szCs w:val="24"/>
          <w:lang w:val="en-US" w:eastAsia="hu-HU"/>
        </w:rPr>
        <w:t>calculate the GEDI scores for 73</w:t>
      </w:r>
      <w:r w:rsidRPr="00791A41">
        <w:rPr>
          <w:rFonts w:eastAsia="Times New Roman"/>
          <w:sz w:val="24"/>
          <w:szCs w:val="24"/>
          <w:lang w:val="en-US" w:eastAsia="hu-HU"/>
        </w:rPr>
        <w:t xml:space="preserve"> countries </w:t>
      </w:r>
      <w:r>
        <w:rPr>
          <w:rFonts w:eastAsia="Times New Roman"/>
          <w:sz w:val="24"/>
          <w:szCs w:val="24"/>
          <w:lang w:val="en-US" w:eastAsia="hu-HU"/>
        </w:rPr>
        <w:t>both in the 2008-2011</w:t>
      </w:r>
      <w:r w:rsidRPr="00791A41">
        <w:rPr>
          <w:rFonts w:eastAsia="Times New Roman"/>
          <w:sz w:val="24"/>
          <w:szCs w:val="24"/>
          <w:lang w:val="en-US" w:eastAsia="hu-HU"/>
        </w:rPr>
        <w:t xml:space="preserve"> </w:t>
      </w:r>
      <w:r>
        <w:rPr>
          <w:rFonts w:eastAsia="Times New Roman"/>
          <w:sz w:val="24"/>
          <w:szCs w:val="24"/>
          <w:lang w:val="en-US" w:eastAsia="hu-HU"/>
        </w:rPr>
        <w:t xml:space="preserve">and the 2012-2015 plus the four UK regions, England, Northern Ireland, Scotland and Wales resulting </w:t>
      </w:r>
      <w:r w:rsidR="00A733A7">
        <w:rPr>
          <w:rFonts w:eastAsia="Times New Roman"/>
          <w:sz w:val="24"/>
          <w:szCs w:val="24"/>
          <w:lang w:val="en-US" w:eastAsia="hu-HU"/>
        </w:rPr>
        <w:t xml:space="preserve">in </w:t>
      </w:r>
      <w:r>
        <w:rPr>
          <w:rFonts w:eastAsia="Times New Roman"/>
          <w:sz w:val="24"/>
          <w:szCs w:val="24"/>
          <w:lang w:val="en-US" w:eastAsia="hu-HU"/>
        </w:rPr>
        <w:t>154</w:t>
      </w:r>
      <w:r w:rsidRPr="00791A41">
        <w:rPr>
          <w:rFonts w:eastAsia="Times New Roman"/>
          <w:sz w:val="24"/>
          <w:szCs w:val="24"/>
          <w:lang w:val="en-US" w:eastAsia="hu-HU"/>
        </w:rPr>
        <w:t xml:space="preserve"> </w:t>
      </w:r>
      <w:r>
        <w:rPr>
          <w:rFonts w:eastAsia="Times New Roman"/>
          <w:sz w:val="24"/>
          <w:szCs w:val="24"/>
          <w:lang w:val="en-US" w:eastAsia="hu-HU"/>
        </w:rPr>
        <w:t xml:space="preserve">units of </w:t>
      </w:r>
      <w:r w:rsidRPr="00791A41">
        <w:rPr>
          <w:rFonts w:eastAsia="Times New Roman"/>
          <w:sz w:val="24"/>
          <w:szCs w:val="24"/>
          <w:lang w:val="en-US" w:eastAsia="hu-HU"/>
        </w:rPr>
        <w:t xml:space="preserve">observations. </w:t>
      </w:r>
    </w:p>
    <w:p w:rsidR="00FB0884" w:rsidRPr="0027506A" w:rsidRDefault="00FB0884" w:rsidP="00FB0884">
      <w:pPr>
        <w:spacing w:line="240" w:lineRule="auto"/>
        <w:ind w:left="567"/>
        <w:contextualSpacing/>
        <w:rPr>
          <w:rFonts w:eastAsia="Times New Roman"/>
          <w:lang w:val="en-US" w:eastAsia="hu-HU"/>
        </w:rPr>
      </w:pPr>
    </w:p>
    <w:p w:rsidR="00FB0884" w:rsidRDefault="00FB0884" w:rsidP="00FB0884">
      <w:pPr>
        <w:numPr>
          <w:ilvl w:val="0"/>
          <w:numId w:val="20"/>
        </w:numPr>
        <w:spacing w:after="0" w:line="240" w:lineRule="auto"/>
        <w:ind w:left="567" w:hanging="567"/>
        <w:rPr>
          <w:rFonts w:eastAsia="Times New Roman"/>
          <w:sz w:val="24"/>
          <w:szCs w:val="24"/>
          <w:lang w:val="en-US" w:eastAsia="hu-HU"/>
        </w:rPr>
      </w:pPr>
      <w:r>
        <w:rPr>
          <w:rFonts w:eastAsia="Times New Roman"/>
          <w:sz w:val="24"/>
          <w:szCs w:val="24"/>
          <w:lang w:val="en-US" w:eastAsia="hu-HU"/>
        </w:rPr>
        <w:t xml:space="preserve">The calculation of the basic individual and institutional variable indicators was based on a simple average over the 2008-2011 and the 2012-2015 time </w:t>
      </w:r>
      <w:proofErr w:type="gramStart"/>
      <w:r>
        <w:rPr>
          <w:rFonts w:eastAsia="Times New Roman"/>
          <w:sz w:val="24"/>
          <w:szCs w:val="24"/>
          <w:lang w:val="en-US" w:eastAsia="hu-HU"/>
        </w:rPr>
        <w:t>period</w:t>
      </w:r>
      <w:proofErr w:type="gramEnd"/>
      <w:r>
        <w:rPr>
          <w:rFonts w:eastAsia="Times New Roman"/>
          <w:sz w:val="24"/>
          <w:szCs w:val="24"/>
          <w:lang w:val="en-US" w:eastAsia="hu-HU"/>
        </w:rPr>
        <w:t xml:space="preserve">. Table 1 provides details about the availability of the yearly country data. We did not </w:t>
      </w:r>
      <w:r w:rsidR="00A733A7">
        <w:rPr>
          <w:rFonts w:eastAsia="Times New Roman"/>
          <w:sz w:val="24"/>
          <w:szCs w:val="24"/>
          <w:lang w:val="en-US" w:eastAsia="hu-HU"/>
        </w:rPr>
        <w:t>conduct</w:t>
      </w:r>
      <w:r>
        <w:rPr>
          <w:rFonts w:eastAsia="Times New Roman"/>
          <w:sz w:val="24"/>
          <w:szCs w:val="24"/>
          <w:lang w:val="en-US" w:eastAsia="hu-HU"/>
        </w:rPr>
        <w:t xml:space="preserve"> data imputation for missing data.</w:t>
      </w:r>
    </w:p>
    <w:p w:rsidR="00525E23" w:rsidRDefault="00525E23" w:rsidP="00525E23">
      <w:pPr>
        <w:spacing w:after="0" w:line="240" w:lineRule="auto"/>
        <w:ind w:left="567"/>
        <w:rPr>
          <w:rFonts w:eastAsia="Times New Roman"/>
          <w:sz w:val="24"/>
          <w:szCs w:val="24"/>
          <w:lang w:val="en-US" w:eastAsia="hu-HU"/>
        </w:rPr>
      </w:pPr>
    </w:p>
    <w:p w:rsidR="00FB0884" w:rsidRDefault="00FB0884" w:rsidP="00FB0884">
      <w:pPr>
        <w:numPr>
          <w:ilvl w:val="0"/>
          <w:numId w:val="20"/>
        </w:numPr>
        <w:spacing w:after="0" w:line="240" w:lineRule="auto"/>
        <w:ind w:left="567" w:hanging="567"/>
        <w:rPr>
          <w:rFonts w:eastAsia="Times New Roman"/>
          <w:sz w:val="24"/>
          <w:szCs w:val="24"/>
          <w:lang w:val="en-US" w:eastAsia="hu-HU"/>
        </w:rPr>
      </w:pPr>
      <w:r w:rsidRPr="00525E23">
        <w:rPr>
          <w:rFonts w:eastAsia="Times New Roman"/>
          <w:b/>
          <w:i/>
          <w:sz w:val="24"/>
          <w:szCs w:val="24"/>
          <w:lang w:val="en-US" w:eastAsia="hu-HU"/>
        </w:rPr>
        <w:t>The selection of variables:</w:t>
      </w:r>
      <w:r w:rsidRPr="00525E23">
        <w:rPr>
          <w:rFonts w:eastAsia="Times New Roman"/>
          <w:sz w:val="24"/>
          <w:szCs w:val="24"/>
          <w:lang w:val="en-US" w:eastAsia="hu-HU"/>
        </w:rPr>
        <w:t xml:space="preserve"> </w:t>
      </w:r>
      <w:r w:rsidRPr="00525E23">
        <w:rPr>
          <w:sz w:val="24"/>
          <w:szCs w:val="24"/>
          <w:lang w:val="en-US"/>
        </w:rPr>
        <w:t xml:space="preserve">We start with the variables that come directly from the original sources for each country involved in the analysis. The variables </w:t>
      </w:r>
      <w:r w:rsidR="00FF6E88" w:rsidRPr="00525E23">
        <w:rPr>
          <w:sz w:val="24"/>
          <w:szCs w:val="24"/>
          <w:lang w:val="en-US"/>
        </w:rPr>
        <w:t>are of two types:</w:t>
      </w:r>
      <w:r w:rsidRPr="00525E23">
        <w:rPr>
          <w:sz w:val="24"/>
          <w:szCs w:val="24"/>
          <w:lang w:val="en-US"/>
        </w:rPr>
        <w:t xml:space="preserve"> individual level (personal or business) and come from the Global Entrepreneurship Monitor (GEM) Adult Population Survey, </w:t>
      </w:r>
      <w:r w:rsidR="00FF6E88" w:rsidRPr="00525E23">
        <w:rPr>
          <w:sz w:val="24"/>
          <w:szCs w:val="24"/>
          <w:lang w:val="en-US"/>
        </w:rPr>
        <w:t>and</w:t>
      </w:r>
      <w:r w:rsidRPr="00525E23">
        <w:rPr>
          <w:sz w:val="24"/>
          <w:szCs w:val="24"/>
          <w:lang w:val="en-US"/>
        </w:rPr>
        <w:t xml:space="preserve"> institutional/environmental level</w:t>
      </w:r>
      <w:r w:rsidR="00FF6E88" w:rsidRPr="00525E23">
        <w:rPr>
          <w:sz w:val="24"/>
          <w:szCs w:val="24"/>
          <w:lang w:val="en-US"/>
        </w:rPr>
        <w:t>,</w:t>
      </w:r>
      <w:r w:rsidRPr="00525E23">
        <w:rPr>
          <w:sz w:val="24"/>
          <w:szCs w:val="24"/>
          <w:lang w:val="en-US"/>
        </w:rPr>
        <w:t xml:space="preserve"> and come from various other sources. Altogether we use 16 individual and 15 institutional variables, some of which are themselves complex. The description and the calculation of the individual variables are described in Appendix </w:t>
      </w:r>
      <w:r w:rsidR="00525E23" w:rsidRPr="00525E23">
        <w:rPr>
          <w:sz w:val="24"/>
          <w:szCs w:val="24"/>
          <w:lang w:val="en-US"/>
        </w:rPr>
        <w:t>2.4</w:t>
      </w:r>
      <w:r w:rsidRPr="00525E23">
        <w:rPr>
          <w:sz w:val="24"/>
          <w:szCs w:val="24"/>
          <w:lang w:val="en-US"/>
        </w:rPr>
        <w:t>, and the institutional variables in Appendix 2.</w:t>
      </w:r>
      <w:r w:rsidR="00525E23" w:rsidRPr="00525E23">
        <w:rPr>
          <w:sz w:val="24"/>
          <w:szCs w:val="24"/>
          <w:lang w:val="en-US"/>
        </w:rPr>
        <w:t>5</w:t>
      </w:r>
      <w:r w:rsidRPr="00525E23">
        <w:rPr>
          <w:rFonts w:eastAsia="Times New Roman"/>
          <w:sz w:val="24"/>
          <w:szCs w:val="24"/>
          <w:lang w:val="en-US" w:eastAsia="hu-HU"/>
        </w:rPr>
        <w:t xml:space="preserve">. </w:t>
      </w:r>
    </w:p>
    <w:p w:rsidR="00525E23" w:rsidRPr="00525E23" w:rsidRDefault="00525E23" w:rsidP="00525E23">
      <w:pPr>
        <w:spacing w:after="0" w:line="240" w:lineRule="auto"/>
        <w:ind w:left="567"/>
        <w:rPr>
          <w:rFonts w:eastAsia="Times New Roman"/>
          <w:sz w:val="24"/>
          <w:szCs w:val="24"/>
          <w:lang w:val="en-US" w:eastAsia="hu-HU"/>
        </w:rPr>
      </w:pPr>
    </w:p>
    <w:p w:rsidR="00FB0884" w:rsidRPr="00791A41" w:rsidRDefault="00FB0884" w:rsidP="00FB0884">
      <w:pPr>
        <w:numPr>
          <w:ilvl w:val="0"/>
          <w:numId w:val="20"/>
        </w:numPr>
        <w:spacing w:after="0" w:line="240" w:lineRule="auto"/>
        <w:ind w:left="567" w:hanging="567"/>
        <w:rPr>
          <w:rFonts w:eastAsia="Times New Roman"/>
          <w:sz w:val="24"/>
          <w:szCs w:val="24"/>
          <w:lang w:val="en-US" w:eastAsia="hu-HU"/>
        </w:rPr>
      </w:pPr>
      <w:r w:rsidRPr="00791A41">
        <w:rPr>
          <w:rFonts w:eastAsia="Times New Roman"/>
          <w:b/>
          <w:i/>
          <w:sz w:val="24"/>
          <w:szCs w:val="24"/>
          <w:lang w:val="en-US" w:eastAsia="hu-HU"/>
        </w:rPr>
        <w:t>The construction of the pillars:</w:t>
      </w:r>
      <w:r w:rsidRPr="00791A41">
        <w:rPr>
          <w:rFonts w:eastAsia="Times New Roman"/>
          <w:sz w:val="24"/>
          <w:szCs w:val="24"/>
          <w:lang w:val="en-US" w:eastAsia="hu-HU"/>
        </w:rPr>
        <w:t xml:space="preserve"> We calculate all pillars from the variables using the interaction variable method; that is, by multiplying the individual variable with the proper institutional variable.</w:t>
      </w:r>
      <w:r w:rsidRPr="00791A41">
        <w:rPr>
          <w:sz w:val="24"/>
          <w:szCs w:val="24"/>
          <w:lang w:val="en-US"/>
        </w:rPr>
        <w:t xml:space="preserve"> The notion behind this technique </w:t>
      </w:r>
      <w:r>
        <w:rPr>
          <w:sz w:val="24"/>
          <w:szCs w:val="24"/>
          <w:lang w:val="en-US"/>
        </w:rPr>
        <w:t>goes</w:t>
      </w:r>
      <w:r w:rsidRPr="00791A41">
        <w:rPr>
          <w:sz w:val="24"/>
          <w:szCs w:val="24"/>
          <w:lang w:val="en-US"/>
        </w:rPr>
        <w:t xml:space="preserve"> back </w:t>
      </w:r>
      <w:r w:rsidRPr="00E65FB6">
        <w:rPr>
          <w:rFonts w:eastAsia="Times New Roman"/>
          <w:sz w:val="24"/>
          <w:szCs w:val="24"/>
          <w:lang w:val="en-US" w:eastAsia="hu-HU"/>
        </w:rPr>
        <w:t xml:space="preserve">to </w:t>
      </w:r>
      <w:proofErr w:type="spellStart"/>
      <w:r w:rsidRPr="00E65FB6">
        <w:rPr>
          <w:rFonts w:eastAsia="Times New Roman"/>
          <w:sz w:val="24"/>
          <w:szCs w:val="24"/>
          <w:lang w:val="en-US" w:eastAsia="hu-HU"/>
        </w:rPr>
        <w:t>Baumol’s</w:t>
      </w:r>
      <w:proofErr w:type="spellEnd"/>
      <w:r w:rsidRPr="00E65FB6">
        <w:rPr>
          <w:rFonts w:eastAsia="Times New Roman"/>
          <w:sz w:val="24"/>
          <w:szCs w:val="24"/>
          <w:lang w:val="en-US" w:eastAsia="hu-HU"/>
        </w:rPr>
        <w:t xml:space="preserve"> (1996) idea t</w:t>
      </w:r>
      <w:r w:rsidRPr="00791A41">
        <w:rPr>
          <w:sz w:val="24"/>
          <w:szCs w:val="24"/>
          <w:lang w:val="en-US"/>
        </w:rPr>
        <w:t xml:space="preserve">hat the value of entrepreneurship depends on both the individual effort and the institutional context. </w:t>
      </w:r>
      <w:r w:rsidRPr="00B07B8A">
        <w:rPr>
          <w:sz w:val="24"/>
          <w:szCs w:val="24"/>
          <w:lang w:val="en-US"/>
        </w:rPr>
        <w:t>This multiplication result</w:t>
      </w:r>
      <w:r w:rsidRPr="00045D5C">
        <w:rPr>
          <w:sz w:val="24"/>
          <w:szCs w:val="24"/>
          <w:lang w:val="en-US"/>
        </w:rPr>
        <w:t xml:space="preserve"> for </w:t>
      </w:r>
      <w:r w:rsidRPr="00791A41">
        <w:rPr>
          <w:sz w:val="24"/>
          <w:szCs w:val="24"/>
          <w:lang w:val="en-US"/>
        </w:rPr>
        <w:t>all the 554 observations</w:t>
      </w:r>
      <w:r>
        <w:rPr>
          <w:sz w:val="24"/>
          <w:szCs w:val="24"/>
          <w:lang w:val="en-US"/>
        </w:rPr>
        <w:t xml:space="preserve"> is</w:t>
      </w:r>
      <w:r w:rsidRPr="00791A41">
        <w:rPr>
          <w:sz w:val="24"/>
          <w:szCs w:val="24"/>
          <w:lang w:val="en-US"/>
        </w:rPr>
        <w:t>.</w:t>
      </w:r>
    </w:p>
    <w:p w:rsidR="00FB0884" w:rsidRPr="00791A41" w:rsidRDefault="00FB0884" w:rsidP="00FB0884">
      <w:pPr>
        <w:pStyle w:val="ListParagraph"/>
        <w:ind w:left="567" w:hanging="567"/>
        <w:rPr>
          <w:sz w:val="24"/>
          <w:szCs w:val="24"/>
          <w:lang w:val="en-US"/>
        </w:rPr>
      </w:pPr>
    </w:p>
    <w:p w:rsidR="00FB0884" w:rsidRPr="00791A41" w:rsidRDefault="00FB0884" w:rsidP="00FB0884">
      <w:pPr>
        <w:ind w:left="567" w:hanging="567"/>
        <w:jc w:val="center"/>
        <w:rPr>
          <w:rFonts w:eastAsia="Calibri"/>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i</m:t>
            </m:r>
            <m:r>
              <w:rPr>
                <w:rFonts w:ascii="Cambria Math"/>
                <w:sz w:val="24"/>
                <w:szCs w:val="24"/>
                <w:lang w:val="en-US"/>
              </w:rPr>
              <m:t>,</m:t>
            </m:r>
            <m:r>
              <w:rPr>
                <w:rFonts w:ascii="Cambria Math" w:hAnsi="Cambria Math"/>
                <w:sz w:val="24"/>
                <w:szCs w:val="24"/>
                <w:lang w:val="en-US"/>
              </w:rPr>
              <m:t>j</m:t>
            </m:r>
          </m:sub>
        </m:sSub>
        <m:r>
          <w:rPr>
            <w:rFonts w:asci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IND</m:t>
            </m:r>
          </m:e>
          <m:sub>
            <m:r>
              <w:rPr>
                <w:rFonts w:ascii="Cambria Math" w:hAnsi="Cambria Math"/>
                <w:sz w:val="24"/>
                <w:szCs w:val="24"/>
                <w:lang w:val="en-US"/>
              </w:rPr>
              <m:t>i</m:t>
            </m:r>
            <m:r>
              <w:rPr>
                <w:rFonts w:ascii="Cambria Math"/>
                <w:sz w:val="24"/>
                <w:szCs w:val="24"/>
                <w:lang w:val="en-US"/>
              </w:rPr>
              <m:t>,</m:t>
            </m:r>
            <m:r>
              <w:rPr>
                <w:rFonts w:ascii="Cambria Math" w:hAnsi="Cambria Math"/>
                <w:sz w:val="24"/>
                <w:szCs w:val="24"/>
                <w:lang w:val="en-US"/>
              </w:rPr>
              <m:t>j</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INS</m:t>
            </m:r>
          </m:e>
          <m:sub>
            <m:r>
              <w:rPr>
                <w:rFonts w:ascii="Cambria Math" w:hAnsi="Cambria Math"/>
                <w:sz w:val="24"/>
                <w:szCs w:val="24"/>
                <w:lang w:val="en-US"/>
              </w:rPr>
              <m:t>i</m:t>
            </m:r>
            <m:r>
              <w:rPr>
                <w:rFonts w:ascii="Cambria Math"/>
                <w:sz w:val="24"/>
                <w:szCs w:val="24"/>
                <w:lang w:val="en-US"/>
              </w:rPr>
              <m:t>,</m:t>
            </m:r>
            <m:r>
              <w:rPr>
                <w:rFonts w:ascii="Cambria Math" w:hAnsi="Cambria Math"/>
                <w:sz w:val="24"/>
                <w:szCs w:val="24"/>
                <w:lang w:val="en-US"/>
              </w:rPr>
              <m:t>j</m:t>
            </m:r>
          </m:sub>
        </m:sSub>
      </m:oMath>
      <w:r w:rsidRPr="00791A41">
        <w:rPr>
          <w:rFonts w:eastAsia="Calibri"/>
          <w:sz w:val="24"/>
          <w:szCs w:val="24"/>
          <w:lang w:val="en-US"/>
        </w:rPr>
        <w:tab/>
      </w:r>
      <w:r w:rsidRPr="00791A41">
        <w:rPr>
          <w:rFonts w:eastAsia="Calibri"/>
          <w:sz w:val="24"/>
          <w:szCs w:val="24"/>
          <w:lang w:val="en-US"/>
        </w:rPr>
        <w:tab/>
      </w:r>
      <w:r w:rsidRPr="00791A41">
        <w:rPr>
          <w:rFonts w:eastAsia="Calibri"/>
          <w:sz w:val="24"/>
          <w:szCs w:val="24"/>
          <w:lang w:val="en-US"/>
        </w:rPr>
        <w:tab/>
        <w:t>(1)</w:t>
      </w:r>
    </w:p>
    <w:p w:rsidR="00FB0884" w:rsidRPr="00791A41" w:rsidRDefault="00FB0884" w:rsidP="00FB0884">
      <w:pPr>
        <w:ind w:left="567"/>
        <w:rPr>
          <w:rFonts w:cstheme="minorHAnsi"/>
        </w:rPr>
      </w:pPr>
      <w:proofErr w:type="gramStart"/>
      <w:r w:rsidRPr="00791A41">
        <w:rPr>
          <w:rFonts w:cstheme="minorHAnsi"/>
        </w:rPr>
        <w:t>for</w:t>
      </w:r>
      <w:proofErr w:type="gramEnd"/>
      <w:r w:rsidRPr="00791A41">
        <w:rPr>
          <w:rFonts w:cstheme="minorHAnsi"/>
        </w:rPr>
        <w:t xml:space="preserve"> all j</w:t>
      </w:r>
      <w:r>
        <w:rPr>
          <w:rFonts w:cstheme="minorHAnsi"/>
        </w:rPr>
        <w:t xml:space="preserve"> </w:t>
      </w:r>
      <w:r w:rsidRPr="00791A41">
        <w:rPr>
          <w:rFonts w:cstheme="minorHAnsi"/>
        </w:rPr>
        <w:t xml:space="preserve">= 1 ... k, the number of individual and institutional variables </w:t>
      </w:r>
    </w:p>
    <w:p w:rsidR="00FB0884" w:rsidRPr="00791A41" w:rsidRDefault="00FB0884" w:rsidP="00FB0884">
      <w:pPr>
        <w:ind w:left="567"/>
        <w:rPr>
          <w:rFonts w:cstheme="minorHAnsi"/>
        </w:rPr>
      </w:pPr>
      <m:oMath>
        <m:sSub>
          <m:sSubPr>
            <m:ctrlPr>
              <w:rPr>
                <w:rFonts w:ascii="Cambria Math" w:hAnsi="Cambria Math" w:cstheme="minorHAnsi"/>
                <w:i/>
              </w:rPr>
            </m:ctrlPr>
          </m:sSubPr>
          <m:e>
            <m:r>
              <w:rPr>
                <w:rFonts w:ascii="Cambria Math" w:hAnsi="Cambria Math" w:cstheme="minorHAnsi"/>
              </w:rPr>
              <m:t>IND</m:t>
            </m:r>
          </m:e>
          <m:sub>
            <m:r>
              <w:rPr>
                <w:rFonts w:ascii="Cambria Math" w:hAnsi="Cambria Math" w:cstheme="minorHAnsi"/>
              </w:rPr>
              <m:t>i,j</m:t>
            </m:r>
          </m:sub>
        </m:sSub>
      </m:oMath>
      <w:r w:rsidRPr="00791A41">
        <w:rPr>
          <w:rFonts w:cstheme="minorHAnsi"/>
        </w:rPr>
        <w:t xml:space="preserve"> </w:t>
      </w:r>
      <w:proofErr w:type="gramStart"/>
      <w:r w:rsidRPr="00791A41">
        <w:rPr>
          <w:rFonts w:cstheme="minorHAnsi"/>
        </w:rPr>
        <w:t>is</w:t>
      </w:r>
      <w:proofErr w:type="gramEnd"/>
      <w:r w:rsidRPr="00791A41">
        <w:rPr>
          <w:rFonts w:cstheme="minorHAnsi"/>
        </w:rPr>
        <w:t xml:space="preserve"> the original score value for</w:t>
      </w:r>
      <w:r>
        <w:rPr>
          <w:rFonts w:cstheme="minorHAnsi"/>
        </w:rPr>
        <w:t xml:space="preserve"> </w:t>
      </w:r>
      <w:r w:rsidRPr="00791A41">
        <w:rPr>
          <w:rFonts w:cstheme="minorHAnsi"/>
        </w:rPr>
        <w:t xml:space="preserve">country </w:t>
      </w:r>
      <w:proofErr w:type="spellStart"/>
      <w:r w:rsidRPr="00791A41">
        <w:rPr>
          <w:rFonts w:cstheme="minorHAnsi"/>
        </w:rPr>
        <w:t>i</w:t>
      </w:r>
      <w:proofErr w:type="spellEnd"/>
      <w:r w:rsidRPr="00791A41">
        <w:rPr>
          <w:rFonts w:cstheme="minorHAnsi"/>
        </w:rPr>
        <w:t xml:space="preserve"> and </w:t>
      </w:r>
      <w:r>
        <w:rPr>
          <w:rFonts w:cstheme="minorHAnsi"/>
        </w:rPr>
        <w:t xml:space="preserve">individual </w:t>
      </w:r>
      <w:r w:rsidRPr="00791A41">
        <w:rPr>
          <w:rFonts w:cstheme="minorHAnsi"/>
        </w:rPr>
        <w:t xml:space="preserve">variable j </w:t>
      </w:r>
    </w:p>
    <w:p w:rsidR="00FB0884" w:rsidRPr="00791A41" w:rsidRDefault="00FB0884" w:rsidP="00FB0884">
      <w:pPr>
        <w:ind w:left="567"/>
        <w:rPr>
          <w:rFonts w:cstheme="minorHAnsi"/>
        </w:rPr>
      </w:pPr>
      <m:oMath>
        <m:sSub>
          <m:sSubPr>
            <m:ctrlPr>
              <w:rPr>
                <w:rFonts w:ascii="Cambria Math" w:hAnsi="Cambria Math" w:cstheme="minorHAnsi"/>
                <w:i/>
              </w:rPr>
            </m:ctrlPr>
          </m:sSubPr>
          <m:e>
            <m:r>
              <w:rPr>
                <w:rFonts w:ascii="Cambria Math" w:hAnsi="Cambria Math" w:cstheme="minorHAnsi"/>
              </w:rPr>
              <m:t>INS</m:t>
            </m:r>
          </m:e>
          <m:sub>
            <m:r>
              <w:rPr>
                <w:rFonts w:ascii="Cambria Math" w:hAnsi="Cambria Math" w:cstheme="minorHAnsi"/>
              </w:rPr>
              <m:t>i,j</m:t>
            </m:r>
          </m:sub>
        </m:sSub>
      </m:oMath>
      <w:r w:rsidRPr="00791A41">
        <w:rPr>
          <w:rFonts w:cstheme="minorHAnsi"/>
        </w:rPr>
        <w:t xml:space="preserve"> </w:t>
      </w:r>
      <w:proofErr w:type="gramStart"/>
      <w:r w:rsidRPr="00791A41">
        <w:rPr>
          <w:rFonts w:cstheme="minorHAnsi"/>
        </w:rPr>
        <w:t>is</w:t>
      </w:r>
      <w:proofErr w:type="gramEnd"/>
      <w:r w:rsidRPr="00791A41">
        <w:rPr>
          <w:rFonts w:cstheme="minorHAnsi"/>
        </w:rPr>
        <w:t xml:space="preserve"> the original score value for</w:t>
      </w:r>
      <w:r>
        <w:rPr>
          <w:rFonts w:cstheme="minorHAnsi"/>
        </w:rPr>
        <w:t xml:space="preserve"> </w:t>
      </w:r>
      <w:r w:rsidRPr="00791A41">
        <w:rPr>
          <w:rFonts w:cstheme="minorHAnsi"/>
        </w:rPr>
        <w:t xml:space="preserve">country </w:t>
      </w:r>
      <w:proofErr w:type="spellStart"/>
      <w:r w:rsidRPr="00791A41">
        <w:rPr>
          <w:rFonts w:cstheme="minorHAnsi"/>
        </w:rPr>
        <w:t>i</w:t>
      </w:r>
      <w:proofErr w:type="spellEnd"/>
      <w:r w:rsidRPr="00791A41">
        <w:rPr>
          <w:rFonts w:cstheme="minorHAnsi"/>
        </w:rPr>
        <w:t xml:space="preserve"> and </w:t>
      </w:r>
      <w:r>
        <w:rPr>
          <w:rFonts w:cstheme="minorHAnsi"/>
        </w:rPr>
        <w:t xml:space="preserve">institutional </w:t>
      </w:r>
      <w:r w:rsidRPr="00791A41">
        <w:rPr>
          <w:rFonts w:cstheme="minorHAnsi"/>
        </w:rPr>
        <w:t xml:space="preserve">variable j </w:t>
      </w:r>
    </w:p>
    <w:p w:rsidR="00FB0884" w:rsidRDefault="00FB0884" w:rsidP="00525E23">
      <w:pPr>
        <w:ind w:left="567"/>
        <w:rPr>
          <w:rFonts w:cstheme="minorHAnsi"/>
        </w:rPr>
      </w:pPr>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i,j</m:t>
            </m:r>
          </m:sub>
        </m:sSub>
      </m:oMath>
      <w:r w:rsidRPr="00791A41">
        <w:rPr>
          <w:rFonts w:cstheme="minorHAnsi"/>
        </w:rPr>
        <w:t xml:space="preserve"> </w:t>
      </w:r>
      <w:proofErr w:type="gramStart"/>
      <w:r w:rsidRPr="00791A41">
        <w:rPr>
          <w:rFonts w:cstheme="minorHAnsi"/>
        </w:rPr>
        <w:t>is</w:t>
      </w:r>
      <w:proofErr w:type="gramEnd"/>
      <w:r w:rsidRPr="00791A41">
        <w:rPr>
          <w:rFonts w:cstheme="minorHAnsi"/>
        </w:rPr>
        <w:t xml:space="preserve"> the original pi</w:t>
      </w:r>
      <w:proofErr w:type="spellStart"/>
      <w:r w:rsidRPr="00791A41">
        <w:rPr>
          <w:rFonts w:cstheme="minorHAnsi"/>
        </w:rPr>
        <w:t>llar</w:t>
      </w:r>
      <w:proofErr w:type="spellEnd"/>
      <w:r w:rsidRPr="00791A41">
        <w:rPr>
          <w:rFonts w:cstheme="minorHAnsi"/>
        </w:rPr>
        <w:t xml:space="preserve"> value for</w:t>
      </w:r>
      <w:r>
        <w:rPr>
          <w:rFonts w:cstheme="minorHAnsi"/>
        </w:rPr>
        <w:t xml:space="preserve"> </w:t>
      </w:r>
      <w:r w:rsidRPr="00791A41">
        <w:rPr>
          <w:rFonts w:cstheme="minorHAnsi"/>
        </w:rPr>
        <w:t xml:space="preserve">country </w:t>
      </w:r>
      <w:proofErr w:type="spellStart"/>
      <w:r w:rsidRPr="00791A41">
        <w:rPr>
          <w:rFonts w:cstheme="minorHAnsi"/>
        </w:rPr>
        <w:t>i</w:t>
      </w:r>
      <w:proofErr w:type="spellEnd"/>
      <w:r w:rsidRPr="00791A41">
        <w:rPr>
          <w:rFonts w:cstheme="minorHAnsi"/>
        </w:rPr>
        <w:t xml:space="preserve"> and pillar j</w:t>
      </w:r>
    </w:p>
    <w:p w:rsidR="00FB0884" w:rsidRPr="00791A41" w:rsidRDefault="00FB0884" w:rsidP="00FB0884">
      <w:pPr>
        <w:numPr>
          <w:ilvl w:val="0"/>
          <w:numId w:val="20"/>
        </w:numPr>
        <w:spacing w:after="0" w:line="240" w:lineRule="auto"/>
        <w:ind w:left="567" w:hanging="567"/>
        <w:contextualSpacing/>
        <w:rPr>
          <w:rFonts w:eastAsia="Times New Roman"/>
          <w:sz w:val="24"/>
          <w:szCs w:val="24"/>
          <w:lang w:val="en-US" w:eastAsia="hu-HU"/>
        </w:rPr>
      </w:pPr>
      <w:r w:rsidRPr="00791A41">
        <w:rPr>
          <w:rFonts w:eastAsia="Times New Roman"/>
          <w:b/>
          <w:i/>
          <w:sz w:val="24"/>
          <w:szCs w:val="24"/>
          <w:lang w:val="en-US" w:eastAsia="hu-HU"/>
        </w:rPr>
        <w:t>Normalization:</w:t>
      </w:r>
      <w:r w:rsidRPr="00791A41">
        <w:rPr>
          <w:rFonts w:eastAsia="Times New Roman"/>
          <w:sz w:val="24"/>
          <w:szCs w:val="24"/>
          <w:lang w:val="en-US" w:eastAsia="hu-HU"/>
        </w:rPr>
        <w:t xml:space="preserve"> pillar</w:t>
      </w:r>
      <w:r>
        <w:rPr>
          <w:rFonts w:eastAsia="Times New Roman"/>
          <w:sz w:val="24"/>
          <w:szCs w:val="24"/>
          <w:lang w:val="en-US" w:eastAsia="hu-HU"/>
        </w:rPr>
        <w:t xml:space="preserve"> </w:t>
      </w:r>
      <w:r w:rsidRPr="00791A41">
        <w:rPr>
          <w:rFonts w:eastAsia="Times New Roman"/>
          <w:sz w:val="24"/>
          <w:szCs w:val="24"/>
          <w:lang w:val="en-US" w:eastAsia="hu-HU"/>
        </w:rPr>
        <w:t>values were first normalized to a range from 0 to 1,</w:t>
      </w:r>
      <w:r w:rsidRPr="00791A41">
        <w:rPr>
          <w:sz w:val="24"/>
          <w:szCs w:val="24"/>
          <w:lang w:val="en-US"/>
        </w:rPr>
        <w:t xml:space="preserve"> using the distance method,</w:t>
      </w:r>
      <w:r w:rsidRPr="00791A41">
        <w:rPr>
          <w:rFonts w:eastAsia="Times New Roman"/>
          <w:sz w:val="24"/>
          <w:szCs w:val="24"/>
          <w:lang w:val="en-US" w:eastAsia="hu-HU"/>
        </w:rPr>
        <w:t xml:space="preserve"> a</w:t>
      </w:r>
      <w:r>
        <w:rPr>
          <w:rFonts w:eastAsia="Times New Roman"/>
          <w:sz w:val="24"/>
          <w:szCs w:val="24"/>
          <w:lang w:val="en-US" w:eastAsia="hu-HU"/>
        </w:rPr>
        <w:t>s shown in</w:t>
      </w:r>
      <w:r w:rsidRPr="00791A41">
        <w:rPr>
          <w:rFonts w:eastAsia="Times New Roman"/>
          <w:sz w:val="24"/>
          <w:szCs w:val="24"/>
          <w:lang w:val="en-US" w:eastAsia="hu-HU"/>
        </w:rPr>
        <w:t xml:space="preserve"> equation 2:</w:t>
      </w:r>
    </w:p>
    <w:p w:rsidR="00FB0884" w:rsidRPr="00791A41" w:rsidRDefault="00FB0884" w:rsidP="00FB0884">
      <w:pPr>
        <w:spacing w:line="240" w:lineRule="auto"/>
        <w:ind w:left="567" w:hanging="567"/>
        <w:contextualSpacing/>
        <w:rPr>
          <w:rFonts w:eastAsia="Times New Roman"/>
          <w:sz w:val="24"/>
          <w:szCs w:val="24"/>
          <w:lang w:val="en-US" w:eastAsia="hu-HU"/>
        </w:rPr>
      </w:pPr>
    </w:p>
    <w:p w:rsidR="00FB0884" w:rsidRPr="0027506A" w:rsidRDefault="00FB0884" w:rsidP="00FB0884">
      <w:pPr>
        <w:spacing w:line="240" w:lineRule="auto"/>
        <w:ind w:left="567" w:hanging="567"/>
        <w:jc w:val="center"/>
        <w:rPr>
          <w:rFonts w:eastAsia="Calibri"/>
          <w:lang w:val="en-US" w:eastAsia="hu-HU"/>
        </w:rPr>
      </w:pPr>
      <m:oMath>
        <m:sSub>
          <m:sSubPr>
            <m:ctrlPr>
              <w:rPr>
                <w:rFonts w:ascii="Cambria Math" w:eastAsia="Times New Roman" w:hAnsi="Cambria Math"/>
                <w:i/>
                <w:lang w:val="en-US" w:eastAsia="hu-HU"/>
              </w:rPr>
            </m:ctrlPr>
          </m:sSubPr>
          <m:e>
            <m:r>
              <w:rPr>
                <w:rFonts w:ascii="Cambria Math" w:eastAsia="Times New Roman" w:hAnsi="Cambria Math"/>
                <w:lang w:val="en-US" w:eastAsia="hu-HU"/>
              </w:rPr>
              <m:t>x</m:t>
            </m:r>
          </m:e>
          <m:sub>
            <m:r>
              <w:rPr>
                <w:rFonts w:ascii="Cambria Math" w:eastAsia="Times New Roman" w:hAnsi="Cambria Math"/>
                <w:lang w:val="en-US" w:eastAsia="hu-HU"/>
              </w:rPr>
              <m:t>i,j</m:t>
            </m:r>
          </m:sub>
        </m:sSub>
        <m:r>
          <w:rPr>
            <w:rFonts w:ascii="Cambria Math" w:eastAsia="Times New Roman" w:hAnsi="Cambria Math"/>
            <w:lang w:val="en-US" w:eastAsia="hu-HU"/>
          </w:rPr>
          <m:t>=</m:t>
        </m:r>
        <m:f>
          <m:fPr>
            <m:ctrlPr>
              <w:rPr>
                <w:rFonts w:ascii="Cambria Math" w:eastAsia="Times New Roman" w:hAnsi="Cambria Math"/>
                <w:i/>
                <w:lang w:val="en-US" w:eastAsia="hu-HU"/>
              </w:rPr>
            </m:ctrlPr>
          </m:fPr>
          <m:num>
            <m:sSub>
              <m:sSubPr>
                <m:ctrlPr>
                  <w:rPr>
                    <w:rFonts w:ascii="Cambria Math" w:eastAsia="Times New Roman" w:hAnsi="Cambria Math"/>
                    <w:i/>
                    <w:lang w:val="en-US" w:eastAsia="hu-HU"/>
                  </w:rPr>
                </m:ctrlPr>
              </m:sSubPr>
              <m:e>
                <m:r>
                  <w:rPr>
                    <w:rFonts w:ascii="Cambria Math" w:eastAsia="Times New Roman" w:hAnsi="Cambria Math"/>
                    <w:lang w:val="en-US" w:eastAsia="hu-HU"/>
                  </w:rPr>
                  <m:t>z</m:t>
                </m:r>
              </m:e>
              <m:sub>
                <m:r>
                  <w:rPr>
                    <w:rFonts w:ascii="Cambria Math" w:eastAsia="Times New Roman" w:hAnsi="Cambria Math"/>
                    <w:lang w:val="en-US" w:eastAsia="hu-HU"/>
                  </w:rPr>
                  <m:t>i,j</m:t>
                </m:r>
              </m:sub>
            </m:sSub>
          </m:num>
          <m:den>
            <m:func>
              <m:funcPr>
                <m:ctrlPr>
                  <w:rPr>
                    <w:rFonts w:ascii="Cambria Math" w:eastAsia="Times New Roman" w:hAnsi="Cambria Math"/>
                    <w:i/>
                    <w:lang w:val="en-US" w:eastAsia="hu-HU"/>
                  </w:rPr>
                </m:ctrlPr>
              </m:funcPr>
              <m:fName>
                <m:r>
                  <m:rPr>
                    <m:sty m:val="p"/>
                  </m:rPr>
                  <w:rPr>
                    <w:rFonts w:ascii="Cambria Math" w:eastAsia="Times New Roman" w:hAnsi="Cambria Math"/>
                    <w:lang w:val="en-US" w:eastAsia="hu-HU"/>
                  </w:rPr>
                  <m:t>max</m:t>
                </m:r>
              </m:fName>
              <m:e>
                <m:sSub>
                  <m:sSubPr>
                    <m:ctrlPr>
                      <w:rPr>
                        <w:rFonts w:ascii="Cambria Math" w:eastAsia="Times New Roman" w:hAnsi="Cambria Math"/>
                        <w:i/>
                        <w:lang w:val="en-US" w:eastAsia="hu-HU"/>
                      </w:rPr>
                    </m:ctrlPr>
                  </m:sSubPr>
                  <m:e>
                    <m:r>
                      <w:rPr>
                        <w:rFonts w:ascii="Cambria Math" w:eastAsia="Times New Roman" w:hAnsi="Cambria Math"/>
                        <w:lang w:val="en-US" w:eastAsia="hu-HU"/>
                      </w:rPr>
                      <m:t>z</m:t>
                    </m:r>
                  </m:e>
                  <m:sub>
                    <m:r>
                      <w:rPr>
                        <w:rFonts w:ascii="Cambria Math" w:eastAsia="Times New Roman" w:hAnsi="Cambria Math"/>
                        <w:lang w:val="en-US" w:eastAsia="hu-HU"/>
                      </w:rPr>
                      <m:t>i,j</m:t>
                    </m:r>
                  </m:sub>
                </m:sSub>
              </m:e>
            </m:func>
          </m:den>
        </m:f>
      </m:oMath>
      <w:r>
        <w:rPr>
          <w:rFonts w:eastAsia="Calibri"/>
          <w:lang w:val="en-US" w:eastAsia="hu-HU"/>
        </w:rPr>
        <w:tab/>
      </w:r>
      <w:r>
        <w:rPr>
          <w:rFonts w:eastAsia="Calibri"/>
          <w:lang w:val="en-US" w:eastAsia="hu-HU"/>
        </w:rPr>
        <w:tab/>
      </w:r>
      <w:r>
        <w:rPr>
          <w:rFonts w:eastAsia="Calibri"/>
          <w:lang w:val="en-US" w:eastAsia="hu-HU"/>
        </w:rPr>
        <w:tab/>
      </w:r>
      <w:r>
        <w:rPr>
          <w:rFonts w:eastAsia="Calibri"/>
          <w:lang w:val="en-US" w:eastAsia="hu-HU"/>
        </w:rPr>
        <w:tab/>
        <w:t>(2</w:t>
      </w:r>
      <w:r w:rsidRPr="0027506A">
        <w:rPr>
          <w:rFonts w:eastAsia="Calibri"/>
          <w:lang w:val="en-US" w:eastAsia="hu-HU"/>
        </w:rPr>
        <w:t>)</w:t>
      </w:r>
    </w:p>
    <w:p w:rsidR="00FB0884" w:rsidRPr="00791A41" w:rsidRDefault="00FB0884" w:rsidP="00FB0884">
      <w:pPr>
        <w:spacing w:line="240" w:lineRule="auto"/>
        <w:ind w:left="1134" w:hanging="567"/>
        <w:rPr>
          <w:rFonts w:eastAsia="Times New Roman" w:cstheme="minorHAnsi"/>
          <w:lang w:val="en-US" w:eastAsia="hu-HU"/>
        </w:rPr>
      </w:pPr>
      <w:proofErr w:type="gramStart"/>
      <w:r w:rsidRPr="00791A41">
        <w:rPr>
          <w:rFonts w:eastAsia="Times New Roman" w:cstheme="minorHAnsi"/>
          <w:lang w:val="en-US" w:eastAsia="hu-HU"/>
        </w:rPr>
        <w:t>for</w:t>
      </w:r>
      <w:proofErr w:type="gramEnd"/>
      <w:r w:rsidRPr="00791A41">
        <w:rPr>
          <w:rFonts w:eastAsia="Times New Roman" w:cstheme="minorHAnsi"/>
          <w:lang w:val="en-US" w:eastAsia="hu-HU"/>
        </w:rPr>
        <w:t xml:space="preserve"> all j</w:t>
      </w:r>
      <w:r>
        <w:rPr>
          <w:rFonts w:eastAsia="Times New Roman" w:cstheme="minorHAnsi"/>
          <w:lang w:val="en-US" w:eastAsia="hu-HU"/>
        </w:rPr>
        <w:t xml:space="preserve"> </w:t>
      </w:r>
      <w:r w:rsidRPr="00791A41">
        <w:rPr>
          <w:rFonts w:eastAsia="Times New Roman" w:cstheme="minorHAnsi"/>
          <w:lang w:val="en-US" w:eastAsia="hu-HU"/>
        </w:rPr>
        <w:t xml:space="preserve">= 1 ... k, the number of pillars </w:t>
      </w:r>
    </w:p>
    <w:p w:rsidR="00FB0884" w:rsidRPr="00791A41" w:rsidRDefault="00FB0884" w:rsidP="00FB0884">
      <w:pPr>
        <w:spacing w:line="240" w:lineRule="auto"/>
        <w:ind w:left="1134" w:hanging="567"/>
        <w:rPr>
          <w:rFonts w:eastAsia="Times New Roman" w:cstheme="minorHAnsi"/>
          <w:lang w:val="en-US" w:eastAsia="hu-HU"/>
        </w:rPr>
      </w:pPr>
      <w:proofErr w:type="gramStart"/>
      <w:r w:rsidRPr="00791A41">
        <w:rPr>
          <w:rFonts w:eastAsia="Times New Roman" w:cstheme="minorHAnsi"/>
          <w:lang w:val="en-US" w:eastAsia="hu-HU"/>
        </w:rPr>
        <w:t>where</w:t>
      </w:r>
      <w:proofErr w:type="gramEnd"/>
      <w:r w:rsidRPr="00791A41">
        <w:rPr>
          <w:rFonts w:eastAsia="Times New Roman" w:cstheme="minorHAnsi"/>
          <w:lang w:val="en-US" w:eastAsia="hu-HU"/>
        </w:rPr>
        <w:t xml:space="preserve"> </w:t>
      </w:r>
      <m:oMath>
        <m:sSub>
          <m:sSubPr>
            <m:ctrlPr>
              <w:rPr>
                <w:rFonts w:ascii="Cambria Math" w:eastAsia="Times New Roman" w:hAnsi="Cambria Math" w:cstheme="minorHAnsi"/>
                <w:i/>
                <w:lang w:val="en-US" w:eastAsia="hu-HU"/>
              </w:rPr>
            </m:ctrlPr>
          </m:sSubPr>
          <m:e>
            <m:r>
              <w:rPr>
                <w:rFonts w:ascii="Cambria Math" w:eastAsia="Times New Roman" w:hAnsi="Cambria Math" w:cstheme="minorHAnsi"/>
                <w:lang w:val="en-US" w:eastAsia="hu-HU"/>
              </w:rPr>
              <m:t>x</m:t>
            </m:r>
          </m:e>
          <m:sub>
            <m:r>
              <w:rPr>
                <w:rFonts w:ascii="Cambria Math" w:eastAsia="Times New Roman" w:hAnsi="Cambria Math" w:cstheme="minorHAnsi"/>
                <w:lang w:val="en-US" w:eastAsia="hu-HU"/>
              </w:rPr>
              <m:t>i,j</m:t>
            </m:r>
          </m:sub>
        </m:sSub>
      </m:oMath>
      <w:r w:rsidRPr="00791A41">
        <w:rPr>
          <w:rFonts w:eastAsia="Times New Roman" w:cstheme="minorHAnsi"/>
          <w:lang w:val="en-US" w:eastAsia="hu-HU"/>
        </w:rPr>
        <w:t xml:space="preserve"> is the normalized score value for</w:t>
      </w:r>
      <w:r>
        <w:rPr>
          <w:rFonts w:eastAsia="Times New Roman" w:cstheme="minorHAnsi"/>
          <w:lang w:val="en-US" w:eastAsia="hu-HU"/>
        </w:rPr>
        <w:t xml:space="preserve"> </w:t>
      </w:r>
      <w:r w:rsidRPr="00791A41">
        <w:rPr>
          <w:rFonts w:eastAsia="Times New Roman" w:cstheme="minorHAnsi"/>
          <w:lang w:val="en-US" w:eastAsia="hu-HU"/>
        </w:rPr>
        <w:t xml:space="preserve">country </w:t>
      </w:r>
      <w:proofErr w:type="spellStart"/>
      <w:r w:rsidRPr="00791A41">
        <w:rPr>
          <w:rFonts w:eastAsia="Times New Roman" w:cstheme="minorHAnsi"/>
          <w:lang w:val="en-US" w:eastAsia="hu-HU"/>
        </w:rPr>
        <w:t>i</w:t>
      </w:r>
      <w:proofErr w:type="spellEnd"/>
      <w:r w:rsidRPr="00791A41">
        <w:rPr>
          <w:rFonts w:eastAsia="Times New Roman" w:cstheme="minorHAnsi"/>
          <w:lang w:val="en-US" w:eastAsia="hu-HU"/>
        </w:rPr>
        <w:t xml:space="preserve"> and pillar j</w:t>
      </w:r>
    </w:p>
    <w:p w:rsidR="00FB0884" w:rsidRPr="00791A41" w:rsidRDefault="00FB0884" w:rsidP="00FB0884">
      <w:pPr>
        <w:spacing w:line="240" w:lineRule="auto"/>
        <w:ind w:left="1134" w:hanging="567"/>
        <w:rPr>
          <w:rFonts w:eastAsia="Times New Roman" w:cstheme="minorHAnsi"/>
          <w:lang w:val="en-US" w:eastAsia="hu-HU"/>
        </w:rPr>
      </w:pPr>
      <m:oMath>
        <m:sSub>
          <m:sSubPr>
            <m:ctrlPr>
              <w:rPr>
                <w:rFonts w:ascii="Cambria Math" w:eastAsia="Times New Roman" w:hAnsi="Cambria Math" w:cstheme="minorHAnsi"/>
                <w:i/>
                <w:lang w:val="en-US" w:eastAsia="hu-HU"/>
              </w:rPr>
            </m:ctrlPr>
          </m:sSubPr>
          <m:e>
            <m:r>
              <w:rPr>
                <w:rFonts w:ascii="Cambria Math" w:eastAsia="Times New Roman" w:hAnsi="Cambria Math" w:cstheme="minorHAnsi"/>
                <w:lang w:val="en-US" w:eastAsia="hu-HU"/>
              </w:rPr>
              <m:t>z</m:t>
            </m:r>
          </m:e>
          <m:sub>
            <m:r>
              <w:rPr>
                <w:rFonts w:ascii="Cambria Math" w:eastAsia="Times New Roman" w:hAnsi="Cambria Math" w:cstheme="minorHAnsi"/>
                <w:lang w:val="en-US" w:eastAsia="hu-HU"/>
              </w:rPr>
              <m:t>i,j</m:t>
            </m:r>
          </m:sub>
        </m:sSub>
      </m:oMath>
      <w:r w:rsidRPr="00791A41">
        <w:rPr>
          <w:rFonts w:eastAsia="Times New Roman" w:cstheme="minorHAnsi"/>
          <w:lang w:val="en-US" w:eastAsia="hu-HU"/>
        </w:rPr>
        <w:t xml:space="preserve"> </w:t>
      </w:r>
      <w:proofErr w:type="gramStart"/>
      <w:r w:rsidRPr="00791A41">
        <w:rPr>
          <w:rFonts w:eastAsia="Times New Roman" w:cstheme="minorHAnsi"/>
          <w:lang w:val="en-US" w:eastAsia="hu-HU"/>
        </w:rPr>
        <w:t>is</w:t>
      </w:r>
      <w:proofErr w:type="gramEnd"/>
      <w:r w:rsidRPr="00791A41">
        <w:rPr>
          <w:rFonts w:eastAsia="Times New Roman" w:cstheme="minorHAnsi"/>
          <w:lang w:val="en-US" w:eastAsia="hu-HU"/>
        </w:rPr>
        <w:t xml:space="preserve"> the original pillar value for country i and pillar j</w:t>
      </w:r>
    </w:p>
    <w:p w:rsidR="00FB0884" w:rsidRPr="00791A41" w:rsidRDefault="00FB0884" w:rsidP="00FB0884">
      <w:pPr>
        <w:spacing w:line="240" w:lineRule="auto"/>
        <w:ind w:left="1134" w:hanging="567"/>
        <w:rPr>
          <w:rFonts w:eastAsia="Times New Roman" w:cstheme="minorHAnsi"/>
          <w:lang w:val="en-US" w:eastAsia="hu-HU"/>
        </w:rPr>
      </w:pPr>
      <m:oMath>
        <m:r>
          <w:rPr>
            <w:rFonts w:ascii="Cambria Math" w:eastAsia="Times New Roman" w:hAnsi="Cambria Math" w:cstheme="minorHAnsi"/>
            <w:lang w:val="en-US" w:eastAsia="hu-HU"/>
          </w:rPr>
          <m:t>max</m:t>
        </m:r>
        <m:sSub>
          <m:sSubPr>
            <m:ctrlPr>
              <w:rPr>
                <w:rFonts w:ascii="Cambria Math" w:eastAsia="Times New Roman" w:hAnsi="Cambria Math" w:cstheme="minorHAnsi"/>
                <w:i/>
                <w:lang w:val="en-US" w:eastAsia="hu-HU"/>
              </w:rPr>
            </m:ctrlPr>
          </m:sSubPr>
          <m:e>
            <m:r>
              <w:rPr>
                <w:rFonts w:ascii="Cambria Math" w:eastAsia="Times New Roman" w:hAnsi="Cambria Math" w:cstheme="minorHAnsi"/>
                <w:lang w:val="en-US" w:eastAsia="hu-HU"/>
              </w:rPr>
              <m:t xml:space="preserve"> z</m:t>
            </m:r>
          </m:e>
          <m:sub>
            <m:r>
              <w:rPr>
                <w:rFonts w:ascii="Cambria Math" w:eastAsia="Times New Roman" w:hAnsi="Cambria Math" w:cstheme="minorHAnsi"/>
                <w:lang w:val="en-US" w:eastAsia="hu-HU"/>
              </w:rPr>
              <m:t>i,j</m:t>
            </m:r>
          </m:sub>
        </m:sSub>
      </m:oMath>
      <w:r w:rsidRPr="00791A41">
        <w:rPr>
          <w:rFonts w:eastAsia="Times New Roman" w:cstheme="minorHAnsi"/>
          <w:lang w:val="en-US" w:eastAsia="hu-HU"/>
        </w:rPr>
        <w:t xml:space="preserve"> </w:t>
      </w:r>
      <w:proofErr w:type="gramStart"/>
      <w:r w:rsidRPr="00791A41">
        <w:rPr>
          <w:rFonts w:eastAsia="Times New Roman" w:cstheme="minorHAnsi"/>
          <w:lang w:val="en-US" w:eastAsia="hu-HU"/>
        </w:rPr>
        <w:t>is</w:t>
      </w:r>
      <w:proofErr w:type="gramEnd"/>
      <w:r w:rsidRPr="00791A41">
        <w:rPr>
          <w:rFonts w:eastAsia="Times New Roman" w:cstheme="minorHAnsi"/>
          <w:lang w:val="en-US" w:eastAsia="hu-HU"/>
        </w:rPr>
        <w:t xml:space="preserve"> the maximum value for pillar j</w:t>
      </w:r>
    </w:p>
    <w:p w:rsidR="00FB0884" w:rsidRPr="00DF4CD5" w:rsidRDefault="00FB0884" w:rsidP="00FB0884">
      <w:pPr>
        <w:spacing w:line="240" w:lineRule="auto"/>
        <w:ind w:left="567" w:hanging="567"/>
        <w:rPr>
          <w:rFonts w:eastAsia="Times New Roman"/>
          <w:sz w:val="24"/>
          <w:szCs w:val="24"/>
          <w:lang w:val="en-US" w:eastAsia="hu-HU"/>
        </w:rPr>
      </w:pPr>
      <w:r w:rsidRPr="00DF4CD5">
        <w:rPr>
          <w:rFonts w:eastAsia="Times New Roman"/>
          <w:sz w:val="24"/>
          <w:szCs w:val="24"/>
          <w:lang w:val="en-US" w:eastAsia="hu-HU"/>
        </w:rPr>
        <w:tab/>
        <w:t xml:space="preserve">This normalization technique </w:t>
      </w:r>
      <w:r w:rsidRPr="00382363">
        <w:rPr>
          <w:rFonts w:eastAsia="Times New Roman"/>
          <w:sz w:val="24"/>
          <w:szCs w:val="24"/>
          <w:lang w:val="en-US" w:eastAsia="hu-HU"/>
        </w:rPr>
        <w:t>compares</w:t>
      </w:r>
      <w:r w:rsidRPr="00DF4CD5">
        <w:rPr>
          <w:rFonts w:eastAsia="Times New Roman"/>
          <w:sz w:val="24"/>
          <w:szCs w:val="24"/>
          <w:lang w:val="en-US" w:eastAsia="hu-HU"/>
        </w:rPr>
        <w:t xml:space="preserve"> a</w:t>
      </w:r>
      <w:r>
        <w:rPr>
          <w:rFonts w:eastAsia="Times New Roman"/>
          <w:sz w:val="24"/>
          <w:szCs w:val="24"/>
          <w:lang w:val="en-US" w:eastAsia="hu-HU"/>
        </w:rPr>
        <w:t xml:space="preserve"> given</w:t>
      </w:r>
      <w:r w:rsidRPr="00DF4CD5">
        <w:rPr>
          <w:rFonts w:eastAsia="Times New Roman"/>
          <w:sz w:val="24"/>
          <w:szCs w:val="24"/>
          <w:lang w:val="en-US" w:eastAsia="hu-HU"/>
        </w:rPr>
        <w:t xml:space="preserve"> country</w:t>
      </w:r>
      <w:r>
        <w:rPr>
          <w:rFonts w:eastAsia="Times New Roman"/>
          <w:sz w:val="24"/>
          <w:szCs w:val="24"/>
          <w:lang w:val="en-US" w:eastAsia="hu-HU"/>
        </w:rPr>
        <w:t xml:space="preserve">’s </w:t>
      </w:r>
      <w:r w:rsidRPr="00DF4CD5">
        <w:rPr>
          <w:rFonts w:eastAsia="Times New Roman"/>
          <w:sz w:val="24"/>
          <w:szCs w:val="24"/>
          <w:lang w:val="en-US" w:eastAsia="hu-HU"/>
        </w:rPr>
        <w:t>performance</w:t>
      </w:r>
      <w:r>
        <w:rPr>
          <w:rFonts w:eastAsia="Times New Roman"/>
          <w:sz w:val="24"/>
          <w:szCs w:val="24"/>
          <w:lang w:val="en-US" w:eastAsia="hu-HU"/>
        </w:rPr>
        <w:t xml:space="preserve"> </w:t>
      </w:r>
      <w:r w:rsidRPr="00DF4CD5">
        <w:rPr>
          <w:rFonts w:eastAsia="Times New Roman"/>
          <w:sz w:val="24"/>
          <w:szCs w:val="24"/>
          <w:lang w:val="en-US" w:eastAsia="hu-HU"/>
        </w:rPr>
        <w:t xml:space="preserve">to the best performing country. Hence, it provides a proper benchmark </w:t>
      </w:r>
      <w:r>
        <w:rPr>
          <w:rFonts w:eastAsia="Times New Roman"/>
          <w:sz w:val="24"/>
          <w:szCs w:val="24"/>
          <w:lang w:val="en-US" w:eastAsia="hu-HU"/>
        </w:rPr>
        <w:t>for</w:t>
      </w:r>
      <w:r w:rsidRPr="00DF4CD5">
        <w:rPr>
          <w:rFonts w:eastAsia="Times New Roman"/>
          <w:sz w:val="24"/>
          <w:szCs w:val="24"/>
          <w:lang w:val="en-US" w:eastAsia="hu-HU"/>
        </w:rPr>
        <w:t xml:space="preserve"> evaluat</w:t>
      </w:r>
      <w:r>
        <w:rPr>
          <w:rFonts w:eastAsia="Times New Roman"/>
          <w:sz w:val="24"/>
          <w:szCs w:val="24"/>
          <w:lang w:val="en-US" w:eastAsia="hu-HU"/>
        </w:rPr>
        <w:t>ing the</w:t>
      </w:r>
      <w:r w:rsidRPr="00DF4CD5">
        <w:rPr>
          <w:rFonts w:eastAsia="Times New Roman"/>
          <w:sz w:val="24"/>
          <w:szCs w:val="24"/>
          <w:lang w:val="en-US" w:eastAsia="hu-HU"/>
        </w:rPr>
        <w:t xml:space="preserve"> performance of a particular country in a certain pillar </w:t>
      </w:r>
      <w:r w:rsidRPr="00382363">
        <w:rPr>
          <w:rFonts w:eastAsia="Times New Roman"/>
          <w:sz w:val="24"/>
          <w:szCs w:val="24"/>
          <w:lang w:val="en-US" w:eastAsia="hu-HU"/>
        </w:rPr>
        <w:t xml:space="preserve">according </w:t>
      </w:r>
      <w:r w:rsidRPr="00B07B8A">
        <w:rPr>
          <w:rFonts w:eastAsia="Times New Roman"/>
          <w:sz w:val="24"/>
          <w:szCs w:val="24"/>
          <w:lang w:val="en-US" w:eastAsia="hu-HU"/>
        </w:rPr>
        <w:t>to the best available practice</w:t>
      </w:r>
      <w:r w:rsidRPr="00861D4E">
        <w:rPr>
          <w:rFonts w:eastAsia="Times New Roman"/>
          <w:sz w:val="24"/>
          <w:szCs w:val="24"/>
          <w:lang w:val="en-US" w:eastAsia="hu-HU"/>
        </w:rPr>
        <w:t>.</w:t>
      </w:r>
      <w:r w:rsidRPr="00DF4CD5">
        <w:rPr>
          <w:rFonts w:eastAsia="Times New Roman"/>
          <w:sz w:val="24"/>
          <w:szCs w:val="24"/>
          <w:lang w:val="en-US" w:eastAsia="hu-HU"/>
        </w:rPr>
        <w:t xml:space="preserve"> The disadvantage of the </w:t>
      </w:r>
      <w:r>
        <w:rPr>
          <w:rFonts w:eastAsia="Times New Roman"/>
          <w:sz w:val="24"/>
          <w:szCs w:val="24"/>
          <w:lang w:val="en-US" w:eastAsia="hu-HU"/>
        </w:rPr>
        <w:t>“</w:t>
      </w:r>
      <w:r w:rsidRPr="00DF4CD5">
        <w:rPr>
          <w:rFonts w:eastAsia="Times New Roman"/>
          <w:sz w:val="24"/>
          <w:szCs w:val="24"/>
          <w:lang w:val="en-US" w:eastAsia="hu-HU"/>
        </w:rPr>
        <w:t>min-max</w:t>
      </w:r>
      <w:r>
        <w:rPr>
          <w:rFonts w:eastAsia="Times New Roman"/>
          <w:sz w:val="24"/>
          <w:szCs w:val="24"/>
          <w:lang w:val="en-US" w:eastAsia="hu-HU"/>
        </w:rPr>
        <w:t>”</w:t>
      </w:r>
      <w:r w:rsidRPr="00DF4CD5">
        <w:rPr>
          <w:rFonts w:eastAsia="Times New Roman"/>
          <w:sz w:val="24"/>
          <w:szCs w:val="24"/>
          <w:lang w:val="en-US" w:eastAsia="hu-HU"/>
        </w:rPr>
        <w:t xml:space="preserve"> methodology is that it assigns value one to</w:t>
      </w:r>
      <w:r>
        <w:rPr>
          <w:rFonts w:eastAsia="Times New Roman"/>
          <w:sz w:val="24"/>
          <w:szCs w:val="24"/>
          <w:lang w:val="en-US" w:eastAsia="hu-HU"/>
        </w:rPr>
        <w:t xml:space="preserve"> the</w:t>
      </w:r>
      <w:r w:rsidRPr="00DF4CD5">
        <w:rPr>
          <w:rFonts w:eastAsia="Times New Roman"/>
          <w:sz w:val="24"/>
          <w:szCs w:val="24"/>
          <w:lang w:val="en-US" w:eastAsia="hu-HU"/>
        </w:rPr>
        <w:t xml:space="preserve"> best country and zero to the wor</w:t>
      </w:r>
      <w:r>
        <w:rPr>
          <w:rFonts w:eastAsia="Times New Roman"/>
          <w:sz w:val="24"/>
          <w:szCs w:val="24"/>
          <w:lang w:val="en-US" w:eastAsia="hu-HU"/>
        </w:rPr>
        <w:t>st</w:t>
      </w:r>
      <w:r w:rsidRPr="00DF4CD5">
        <w:rPr>
          <w:rFonts w:eastAsia="Times New Roman"/>
          <w:sz w:val="24"/>
          <w:szCs w:val="24"/>
          <w:lang w:val="en-US" w:eastAsia="hu-HU"/>
        </w:rPr>
        <w:t xml:space="preserve"> one</w:t>
      </w:r>
      <w:r>
        <w:rPr>
          <w:rFonts w:eastAsia="Times New Roman"/>
          <w:sz w:val="24"/>
          <w:szCs w:val="24"/>
          <w:lang w:val="en-US" w:eastAsia="hu-HU"/>
        </w:rPr>
        <w:t>, which</w:t>
      </w:r>
      <w:r w:rsidRPr="00DF4CD5">
        <w:rPr>
          <w:rFonts w:eastAsia="Times New Roman"/>
          <w:sz w:val="24"/>
          <w:szCs w:val="24"/>
          <w:lang w:val="en-US" w:eastAsia="hu-HU"/>
        </w:rPr>
        <w:t xml:space="preserve"> could exaggerate</w:t>
      </w:r>
      <w:r>
        <w:rPr>
          <w:rFonts w:eastAsia="Times New Roman"/>
          <w:sz w:val="24"/>
          <w:szCs w:val="24"/>
          <w:lang w:val="en-US" w:eastAsia="hu-HU"/>
        </w:rPr>
        <w:t xml:space="preserve"> </w:t>
      </w:r>
      <w:r w:rsidRPr="00DF4CD5">
        <w:rPr>
          <w:rFonts w:eastAsia="Times New Roman"/>
          <w:sz w:val="24"/>
          <w:szCs w:val="24"/>
          <w:lang w:val="en-US" w:eastAsia="hu-HU"/>
        </w:rPr>
        <w:t>small differences. Another popular normalization method, the “z” score approach</w:t>
      </w:r>
      <w:r>
        <w:rPr>
          <w:rFonts w:eastAsia="Times New Roman"/>
          <w:sz w:val="24"/>
          <w:szCs w:val="24"/>
          <w:lang w:val="en-US" w:eastAsia="hu-HU"/>
        </w:rPr>
        <w:t>,</w:t>
      </w:r>
      <w:r w:rsidRPr="00DF4CD5">
        <w:rPr>
          <w:rFonts w:eastAsia="Times New Roman"/>
          <w:sz w:val="24"/>
          <w:szCs w:val="24"/>
          <w:lang w:val="en-US" w:eastAsia="hu-HU"/>
        </w:rPr>
        <w:t xml:space="preserve"> guarantees normal distribution but results </w:t>
      </w:r>
      <w:r>
        <w:rPr>
          <w:rFonts w:eastAsia="Times New Roman"/>
          <w:sz w:val="24"/>
          <w:szCs w:val="24"/>
          <w:lang w:val="en-US" w:eastAsia="hu-HU"/>
        </w:rPr>
        <w:t xml:space="preserve">in </w:t>
      </w:r>
      <w:r w:rsidRPr="00DF4CD5">
        <w:rPr>
          <w:rFonts w:eastAsia="Times New Roman"/>
          <w:sz w:val="24"/>
          <w:szCs w:val="24"/>
          <w:lang w:val="en-US" w:eastAsia="hu-HU"/>
        </w:rPr>
        <w:t>a variable range of</w:t>
      </w:r>
      <w:r>
        <w:rPr>
          <w:rFonts w:eastAsia="Times New Roman"/>
          <w:sz w:val="24"/>
          <w:szCs w:val="24"/>
          <w:lang w:val="en-US" w:eastAsia="hu-HU"/>
        </w:rPr>
        <w:t xml:space="preserve"> </w:t>
      </w:r>
      <w:r w:rsidRPr="00DF4CD5">
        <w:rPr>
          <w:rFonts w:eastAsia="Times New Roman"/>
          <w:sz w:val="24"/>
          <w:szCs w:val="24"/>
          <w:lang w:val="en-US" w:eastAsia="hu-HU"/>
        </w:rPr>
        <w:t>scores. Since we require that country scores</w:t>
      </w:r>
      <w:r>
        <w:rPr>
          <w:rFonts w:eastAsia="Times New Roman"/>
          <w:sz w:val="24"/>
          <w:szCs w:val="24"/>
          <w:lang w:val="en-US" w:eastAsia="hu-HU"/>
        </w:rPr>
        <w:t xml:space="preserve"> </w:t>
      </w:r>
      <w:r w:rsidRPr="00DF4CD5">
        <w:rPr>
          <w:rFonts w:eastAsia="Times New Roman"/>
          <w:sz w:val="24"/>
          <w:szCs w:val="24"/>
          <w:lang w:val="en-US" w:eastAsia="hu-HU"/>
        </w:rPr>
        <w:t>be strictly in the [0</w:t>
      </w:r>
      <w:proofErr w:type="gramStart"/>
      <w:r w:rsidRPr="00DF4CD5">
        <w:rPr>
          <w:rFonts w:eastAsia="Times New Roman"/>
          <w:sz w:val="24"/>
          <w:szCs w:val="24"/>
          <w:lang w:val="en-US" w:eastAsia="hu-HU"/>
        </w:rPr>
        <w:t>,1</w:t>
      </w:r>
      <w:proofErr w:type="gramEnd"/>
      <w:r w:rsidRPr="00DF4CD5">
        <w:rPr>
          <w:rFonts w:eastAsia="Times New Roman"/>
          <w:sz w:val="24"/>
          <w:szCs w:val="24"/>
          <w:lang w:val="en-US" w:eastAsia="hu-HU"/>
        </w:rPr>
        <w:t>] range</w:t>
      </w:r>
      <w:r>
        <w:rPr>
          <w:rFonts w:eastAsia="Times New Roman"/>
          <w:sz w:val="24"/>
          <w:szCs w:val="24"/>
          <w:lang w:val="en-US" w:eastAsia="hu-HU"/>
        </w:rPr>
        <w:t xml:space="preserve">, </w:t>
      </w:r>
      <w:r w:rsidRPr="00DF4CD5">
        <w:rPr>
          <w:rFonts w:eastAsia="Times New Roman"/>
          <w:sz w:val="24"/>
          <w:szCs w:val="24"/>
          <w:lang w:val="en-US" w:eastAsia="hu-HU"/>
        </w:rPr>
        <w:t>we cannot use this approach.</w:t>
      </w:r>
    </w:p>
    <w:p w:rsidR="00FB0884" w:rsidRPr="00DF4CD5" w:rsidRDefault="00FB0884" w:rsidP="00FB0884">
      <w:pPr>
        <w:numPr>
          <w:ilvl w:val="0"/>
          <w:numId w:val="20"/>
        </w:numPr>
        <w:spacing w:after="0" w:line="240" w:lineRule="auto"/>
        <w:ind w:left="567" w:hanging="567"/>
        <w:contextualSpacing/>
        <w:rPr>
          <w:rFonts w:eastAsia="Times New Roman"/>
          <w:sz w:val="24"/>
          <w:szCs w:val="24"/>
          <w:lang w:val="en-US" w:eastAsia="hu-HU"/>
        </w:rPr>
      </w:pPr>
      <w:r w:rsidRPr="00DF4CD5">
        <w:rPr>
          <w:rFonts w:eastAsia="Times New Roman"/>
          <w:b/>
          <w:i/>
          <w:sz w:val="24"/>
          <w:szCs w:val="24"/>
          <w:lang w:val="en-US" w:eastAsia="hu-HU"/>
        </w:rPr>
        <w:t>Capping:</w:t>
      </w:r>
      <w:r w:rsidRPr="00DF4CD5">
        <w:rPr>
          <w:rFonts w:eastAsia="Times New Roman"/>
          <w:sz w:val="24"/>
          <w:szCs w:val="24"/>
          <w:lang w:val="en-US" w:eastAsia="hu-HU"/>
        </w:rPr>
        <w:t xml:space="preserve"> All index</w:t>
      </w:r>
      <w:r>
        <w:rPr>
          <w:rFonts w:eastAsia="Times New Roman"/>
          <w:sz w:val="24"/>
          <w:szCs w:val="24"/>
          <w:lang w:val="en-US" w:eastAsia="hu-HU"/>
        </w:rPr>
        <w:t>-</w:t>
      </w:r>
      <w:r w:rsidRPr="00DF4CD5">
        <w:rPr>
          <w:rFonts w:eastAsia="Times New Roman"/>
          <w:sz w:val="24"/>
          <w:szCs w:val="24"/>
          <w:lang w:val="en-US" w:eastAsia="hu-HU"/>
        </w:rPr>
        <w:t xml:space="preserve">building is based on a benchmarking principle. </w:t>
      </w:r>
      <w:r>
        <w:rPr>
          <w:rFonts w:eastAsia="Times New Roman"/>
          <w:sz w:val="24"/>
          <w:szCs w:val="24"/>
          <w:lang w:val="en-US" w:eastAsia="hu-HU"/>
        </w:rPr>
        <w:t>W</w:t>
      </w:r>
      <w:r w:rsidRPr="00DF4CD5">
        <w:rPr>
          <w:rFonts w:eastAsia="Times New Roman"/>
          <w:sz w:val="24"/>
          <w:szCs w:val="24"/>
          <w:lang w:val="en-US" w:eastAsia="hu-HU"/>
        </w:rPr>
        <w:t>e selected the 95</w:t>
      </w:r>
      <w:r w:rsidRPr="00045D5C">
        <w:rPr>
          <w:rFonts w:eastAsia="Times New Roman"/>
          <w:sz w:val="24"/>
          <w:szCs w:val="24"/>
          <w:vertAlign w:val="superscript"/>
          <w:lang w:val="en-US" w:eastAsia="hu-HU"/>
        </w:rPr>
        <w:t>th</w:t>
      </w:r>
      <w:r>
        <w:rPr>
          <w:rFonts w:eastAsia="Times New Roman"/>
          <w:sz w:val="24"/>
          <w:szCs w:val="24"/>
          <w:lang w:val="en-US" w:eastAsia="hu-HU"/>
        </w:rPr>
        <w:t xml:space="preserve"> </w:t>
      </w:r>
      <w:r w:rsidRPr="00DF4CD5">
        <w:rPr>
          <w:rFonts w:eastAsia="Times New Roman"/>
          <w:sz w:val="24"/>
          <w:szCs w:val="24"/>
          <w:lang w:val="en-US" w:eastAsia="hu-HU"/>
        </w:rPr>
        <w:t>percentile score adjustment</w:t>
      </w:r>
      <w:r>
        <w:rPr>
          <w:rFonts w:eastAsia="Times New Roman"/>
          <w:sz w:val="24"/>
          <w:szCs w:val="24"/>
          <w:lang w:val="en-US" w:eastAsia="hu-HU"/>
        </w:rPr>
        <w:t>,</w:t>
      </w:r>
      <w:r w:rsidRPr="00DF4CD5">
        <w:rPr>
          <w:rFonts w:eastAsia="Times New Roman"/>
          <w:sz w:val="24"/>
          <w:szCs w:val="24"/>
          <w:lang w:val="en-US" w:eastAsia="hu-HU"/>
        </w:rPr>
        <w:t xml:space="preserve"> meaning that any observed values higher than the 95</w:t>
      </w:r>
      <w:r w:rsidRPr="00045D5C">
        <w:rPr>
          <w:rFonts w:eastAsia="Times New Roman"/>
          <w:sz w:val="24"/>
          <w:szCs w:val="24"/>
          <w:vertAlign w:val="superscript"/>
          <w:lang w:val="en-US" w:eastAsia="hu-HU"/>
        </w:rPr>
        <w:t>th</w:t>
      </w:r>
      <w:r>
        <w:rPr>
          <w:rFonts w:eastAsia="Times New Roman"/>
          <w:sz w:val="24"/>
          <w:szCs w:val="24"/>
          <w:lang w:val="en-US" w:eastAsia="hu-HU"/>
        </w:rPr>
        <w:t xml:space="preserve"> </w:t>
      </w:r>
      <w:r w:rsidRPr="00DF4CD5">
        <w:rPr>
          <w:rFonts w:eastAsia="Times New Roman"/>
          <w:sz w:val="24"/>
          <w:szCs w:val="24"/>
          <w:lang w:val="en-US" w:eastAsia="hu-HU"/>
        </w:rPr>
        <w:t xml:space="preserve">percentile </w:t>
      </w:r>
      <w:r>
        <w:rPr>
          <w:rFonts w:eastAsia="Times New Roman"/>
          <w:sz w:val="24"/>
          <w:szCs w:val="24"/>
          <w:lang w:val="en-US" w:eastAsia="hu-HU"/>
        </w:rPr>
        <w:t>are</w:t>
      </w:r>
      <w:r w:rsidRPr="00DF4CD5">
        <w:rPr>
          <w:rFonts w:eastAsia="Times New Roman"/>
          <w:sz w:val="24"/>
          <w:szCs w:val="24"/>
          <w:lang w:val="en-US" w:eastAsia="hu-HU"/>
        </w:rPr>
        <w:t xml:space="preserve"> lowered to the 95</w:t>
      </w:r>
      <w:r w:rsidRPr="00045D5C">
        <w:rPr>
          <w:rFonts w:eastAsia="Times New Roman"/>
          <w:sz w:val="24"/>
          <w:szCs w:val="24"/>
          <w:vertAlign w:val="superscript"/>
          <w:lang w:val="en-US" w:eastAsia="hu-HU"/>
        </w:rPr>
        <w:t>th</w:t>
      </w:r>
      <w:r>
        <w:rPr>
          <w:rFonts w:eastAsia="Times New Roman"/>
          <w:sz w:val="24"/>
          <w:szCs w:val="24"/>
          <w:lang w:val="en-US" w:eastAsia="hu-HU"/>
        </w:rPr>
        <w:t xml:space="preserve"> </w:t>
      </w:r>
      <w:r w:rsidRPr="00DF4CD5">
        <w:rPr>
          <w:rFonts w:eastAsia="Times New Roman"/>
          <w:sz w:val="24"/>
          <w:szCs w:val="24"/>
          <w:lang w:val="en-US" w:eastAsia="hu-HU"/>
        </w:rPr>
        <w:t>percentile.</w:t>
      </w:r>
      <w:r>
        <w:rPr>
          <w:rFonts w:eastAsia="Times New Roman"/>
          <w:sz w:val="24"/>
          <w:szCs w:val="24"/>
          <w:lang w:val="en-US" w:eastAsia="hu-HU"/>
        </w:rPr>
        <w:t xml:space="preserve"> We are using the same benchmarking for both the time periods that makes possible to compare the advances over time</w:t>
      </w:r>
      <w:r w:rsidRPr="00DF4CD5">
        <w:rPr>
          <w:rFonts w:eastAsia="Times New Roman"/>
          <w:sz w:val="24"/>
          <w:szCs w:val="24"/>
          <w:lang w:val="en-US" w:eastAsia="hu-HU"/>
        </w:rPr>
        <w:t>. This capping method has two advantages. First, it makes</w:t>
      </w:r>
      <w:r>
        <w:rPr>
          <w:rFonts w:eastAsia="Times New Roman"/>
          <w:sz w:val="24"/>
          <w:szCs w:val="24"/>
          <w:lang w:val="en-US" w:eastAsia="hu-HU"/>
        </w:rPr>
        <w:t xml:space="preserve"> it</w:t>
      </w:r>
      <w:r w:rsidRPr="00DF4CD5">
        <w:rPr>
          <w:rFonts w:eastAsia="Times New Roman"/>
          <w:sz w:val="24"/>
          <w:szCs w:val="24"/>
          <w:lang w:val="en-US" w:eastAsia="hu-HU"/>
        </w:rPr>
        <w:t xml:space="preserve"> possible to get rid of the outliers. Second, it provides a reasonable and reachable benchmark for the other countries. Without capping the best country benchmark value</w:t>
      </w:r>
      <w:r>
        <w:rPr>
          <w:rFonts w:eastAsia="Times New Roman"/>
          <w:sz w:val="24"/>
          <w:szCs w:val="24"/>
          <w:lang w:val="en-US" w:eastAsia="hu-HU"/>
        </w:rPr>
        <w:t xml:space="preserve">, </w:t>
      </w:r>
      <w:r w:rsidRPr="00DF4CD5">
        <w:rPr>
          <w:rFonts w:eastAsia="Times New Roman"/>
          <w:sz w:val="24"/>
          <w:szCs w:val="24"/>
          <w:lang w:val="en-US" w:eastAsia="hu-HU"/>
        </w:rPr>
        <w:t>a certain pillar could be extremely high</w:t>
      </w:r>
      <w:r>
        <w:rPr>
          <w:rFonts w:eastAsia="Times New Roman"/>
          <w:sz w:val="24"/>
          <w:szCs w:val="24"/>
          <w:lang w:val="en-US" w:eastAsia="hu-HU"/>
        </w:rPr>
        <w:t>, which would</w:t>
      </w:r>
      <w:r w:rsidRPr="00DF4CD5">
        <w:rPr>
          <w:rFonts w:eastAsia="Times New Roman"/>
          <w:sz w:val="24"/>
          <w:szCs w:val="24"/>
          <w:lang w:val="en-US" w:eastAsia="hu-HU"/>
        </w:rPr>
        <w:t xml:space="preserve"> result</w:t>
      </w:r>
      <w:r>
        <w:rPr>
          <w:rFonts w:eastAsia="Times New Roman"/>
          <w:sz w:val="24"/>
          <w:szCs w:val="24"/>
          <w:lang w:val="en-US" w:eastAsia="hu-HU"/>
        </w:rPr>
        <w:t xml:space="preserve"> in </w:t>
      </w:r>
      <w:r w:rsidRPr="00DF4CD5">
        <w:rPr>
          <w:rFonts w:eastAsia="Times New Roman"/>
          <w:sz w:val="24"/>
          <w:szCs w:val="24"/>
          <w:lang w:val="en-US" w:eastAsia="hu-HU"/>
        </w:rPr>
        <w:t>unreasonably lower normalized scores for the other countries.</w:t>
      </w:r>
    </w:p>
    <w:p w:rsidR="00FB0884" w:rsidRPr="00DF4CD5" w:rsidRDefault="00FB0884" w:rsidP="00FB0884">
      <w:pPr>
        <w:spacing w:line="240" w:lineRule="auto"/>
        <w:ind w:left="567"/>
        <w:contextualSpacing/>
        <w:rPr>
          <w:rFonts w:eastAsia="Times New Roman"/>
          <w:sz w:val="24"/>
          <w:szCs w:val="24"/>
          <w:lang w:val="en-US" w:eastAsia="hu-HU"/>
        </w:rPr>
      </w:pPr>
    </w:p>
    <w:p w:rsidR="00FB0884" w:rsidRDefault="00FB0884" w:rsidP="00FB0884">
      <w:pPr>
        <w:numPr>
          <w:ilvl w:val="0"/>
          <w:numId w:val="20"/>
        </w:numPr>
        <w:spacing w:after="0" w:line="240" w:lineRule="auto"/>
        <w:ind w:left="567" w:hanging="567"/>
        <w:contextualSpacing/>
        <w:rPr>
          <w:rFonts w:eastAsia="Times New Roman"/>
          <w:sz w:val="24"/>
          <w:szCs w:val="24"/>
          <w:lang w:val="en-US" w:eastAsia="hu-HU"/>
        </w:rPr>
      </w:pPr>
      <w:r w:rsidRPr="00DF4CD5">
        <w:rPr>
          <w:rFonts w:eastAsia="Times New Roman"/>
          <w:b/>
          <w:i/>
          <w:sz w:val="24"/>
          <w:szCs w:val="24"/>
          <w:lang w:val="en-US" w:eastAsia="hu-HU"/>
        </w:rPr>
        <w:t>Average pillar adjustment:</w:t>
      </w:r>
      <w:r w:rsidRPr="00DF4CD5">
        <w:rPr>
          <w:rFonts w:eastAsia="Times New Roman"/>
          <w:sz w:val="24"/>
          <w:szCs w:val="24"/>
          <w:lang w:val="en-US" w:eastAsia="hu-HU"/>
        </w:rPr>
        <w:t xml:space="preserve"> The different averages of the normalized values of the indicators imply that reaching the same indicator values require</w:t>
      </w:r>
      <w:r>
        <w:rPr>
          <w:rFonts w:eastAsia="Times New Roman"/>
          <w:sz w:val="24"/>
          <w:szCs w:val="24"/>
          <w:lang w:val="en-US" w:eastAsia="hu-HU"/>
        </w:rPr>
        <w:t>s a</w:t>
      </w:r>
      <w:r w:rsidRPr="00DF4CD5">
        <w:rPr>
          <w:rFonts w:eastAsia="Times New Roman"/>
          <w:sz w:val="24"/>
          <w:szCs w:val="24"/>
          <w:lang w:val="en-US" w:eastAsia="hu-HU"/>
        </w:rPr>
        <w:t xml:space="preserve"> different effort and resources. Since we want to apply GEI for public policy purposes, the additional resources </w:t>
      </w:r>
      <w:r>
        <w:rPr>
          <w:rFonts w:eastAsia="Times New Roman"/>
          <w:sz w:val="24"/>
          <w:szCs w:val="24"/>
          <w:lang w:val="en-US" w:eastAsia="hu-HU"/>
        </w:rPr>
        <w:t>to achieve</w:t>
      </w:r>
      <w:r w:rsidRPr="00DF4CD5">
        <w:rPr>
          <w:rFonts w:eastAsia="Times New Roman"/>
          <w:sz w:val="24"/>
          <w:szCs w:val="24"/>
          <w:lang w:val="en-US" w:eastAsia="hu-HU"/>
        </w:rPr>
        <w:t xml:space="preserve"> the same marginal improvement of the pillar values should be the same for all pillars. However, the marginal effects could </w:t>
      </w:r>
      <w:r>
        <w:rPr>
          <w:rFonts w:eastAsia="Times New Roman"/>
          <w:sz w:val="24"/>
          <w:szCs w:val="24"/>
          <w:lang w:val="en-US" w:eastAsia="hu-HU"/>
        </w:rPr>
        <w:t>differ,</w:t>
      </w:r>
      <w:r w:rsidRPr="00DF4CD5">
        <w:rPr>
          <w:rFonts w:eastAsia="Times New Roman"/>
          <w:sz w:val="24"/>
          <w:szCs w:val="24"/>
          <w:lang w:val="en-US" w:eastAsia="hu-HU"/>
        </w:rPr>
        <w:t xml:space="preserve"> depending on the level of the pillar values. Country variations in the marginal effects are also possible. Calculating all the marginal effects for all the countries would </w:t>
      </w:r>
      <w:r>
        <w:rPr>
          <w:rFonts w:eastAsia="Times New Roman"/>
          <w:sz w:val="24"/>
          <w:szCs w:val="24"/>
          <w:lang w:val="en-US" w:eastAsia="hu-HU"/>
        </w:rPr>
        <w:t>be</w:t>
      </w:r>
      <w:r w:rsidRPr="00DF4CD5">
        <w:rPr>
          <w:rFonts w:eastAsia="Times New Roman"/>
          <w:sz w:val="24"/>
          <w:szCs w:val="24"/>
          <w:lang w:val="en-US" w:eastAsia="hu-HU"/>
        </w:rPr>
        <w:t xml:space="preserve"> a cumbersome task</w:t>
      </w:r>
      <w:r>
        <w:rPr>
          <w:rFonts w:eastAsia="Times New Roman"/>
          <w:sz w:val="24"/>
          <w:szCs w:val="24"/>
          <w:lang w:val="en-US" w:eastAsia="hu-HU"/>
        </w:rPr>
        <w:t>, so</w:t>
      </w:r>
      <w:r w:rsidRPr="00DF4CD5">
        <w:rPr>
          <w:rFonts w:eastAsia="Times New Roman"/>
          <w:sz w:val="24"/>
          <w:szCs w:val="24"/>
          <w:lang w:val="en-US" w:eastAsia="hu-HU"/>
        </w:rPr>
        <w:t xml:space="preserve"> we suggest a simpler solution</w:t>
      </w:r>
      <w:r>
        <w:rPr>
          <w:rFonts w:eastAsia="Times New Roman"/>
          <w:sz w:val="24"/>
          <w:szCs w:val="24"/>
          <w:lang w:val="en-US" w:eastAsia="hu-HU"/>
        </w:rPr>
        <w:t>:</w:t>
      </w:r>
      <w:r w:rsidRPr="00DF4CD5">
        <w:rPr>
          <w:rFonts w:eastAsia="Times New Roman"/>
          <w:sz w:val="24"/>
          <w:szCs w:val="24"/>
          <w:lang w:val="en-US" w:eastAsia="hu-HU"/>
        </w:rPr>
        <w:t xml:space="preserve"> to equalize the marginal effects of the components only on the average pillar values of all</w:t>
      </w:r>
      <w:r>
        <w:rPr>
          <w:rFonts w:eastAsia="Times New Roman"/>
          <w:sz w:val="24"/>
          <w:szCs w:val="24"/>
          <w:lang w:val="en-US" w:eastAsia="hu-HU"/>
        </w:rPr>
        <w:t xml:space="preserve"> </w:t>
      </w:r>
      <w:r w:rsidRPr="00DF4CD5">
        <w:rPr>
          <w:rFonts w:eastAsia="Times New Roman"/>
          <w:sz w:val="24"/>
          <w:szCs w:val="24"/>
          <w:lang w:val="en-US" w:eastAsia="hu-HU"/>
        </w:rPr>
        <w:t xml:space="preserve">countries. This technique reduces but does not </w:t>
      </w:r>
      <w:r>
        <w:rPr>
          <w:rFonts w:eastAsia="Times New Roman"/>
          <w:sz w:val="24"/>
          <w:szCs w:val="24"/>
          <w:lang w:val="en-US" w:eastAsia="hu-HU"/>
        </w:rPr>
        <w:t>eliminate</w:t>
      </w:r>
      <w:r w:rsidRPr="00DF4CD5">
        <w:rPr>
          <w:rFonts w:eastAsia="Times New Roman"/>
          <w:sz w:val="24"/>
          <w:szCs w:val="24"/>
          <w:lang w:val="en-US" w:eastAsia="hu-HU"/>
        </w:rPr>
        <w:t xml:space="preserve"> the distortion in calculating the marginal effects. Equation 3 shows the calculation of the average value of pillar </w:t>
      </w:r>
      <w:r w:rsidRPr="00DF4CD5">
        <w:rPr>
          <w:rFonts w:eastAsia="Times New Roman"/>
          <w:position w:val="-10"/>
          <w:sz w:val="24"/>
          <w:szCs w:val="24"/>
          <w:lang w:val="en-US" w:eastAsia="hu-HU"/>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pt" o:ole="">
            <v:imagedata r:id="rId27" o:title=""/>
          </v:shape>
          <o:OLEObject Type="Embed" ProgID="Equation.DSMT4" ShapeID="_x0000_i1025" DrawAspect="Content" ObjectID="_1569786829" r:id="rId28"/>
        </w:object>
      </w:r>
      <w:r w:rsidRPr="00DF4CD5">
        <w:rPr>
          <w:rFonts w:eastAsia="Times New Roman"/>
          <w:sz w:val="24"/>
          <w:szCs w:val="24"/>
          <w:lang w:val="en-US" w:eastAsia="hu-HU"/>
        </w:rPr>
        <w:t>:</w:t>
      </w:r>
    </w:p>
    <w:p w:rsidR="00FB0884" w:rsidRDefault="00FB0884" w:rsidP="00FB0884">
      <w:pPr>
        <w:spacing w:line="240" w:lineRule="auto"/>
        <w:ind w:left="567"/>
        <w:contextualSpacing/>
        <w:rPr>
          <w:rFonts w:eastAsia="Times New Roman"/>
          <w:sz w:val="24"/>
          <w:szCs w:val="24"/>
          <w:lang w:val="en-US" w:eastAsia="hu-HU"/>
        </w:rPr>
      </w:pPr>
    </w:p>
    <w:p w:rsidR="00FB0884" w:rsidRPr="0093175E" w:rsidRDefault="00FB0884" w:rsidP="00FB0884">
      <w:pPr>
        <w:spacing w:after="240" w:line="276" w:lineRule="auto"/>
        <w:ind w:left="360"/>
        <w:jc w:val="center"/>
        <w:rPr>
          <w:szCs w:val="24"/>
          <w:lang w:val="en-US"/>
        </w:rPr>
      </w:pPr>
      <m:oMath>
        <m:sSub>
          <m:sSubPr>
            <m:ctrlPr>
              <w:rPr>
                <w:rFonts w:ascii="Cambria Math" w:hAnsi="Cambria Math"/>
                <w:szCs w:val="24"/>
                <w:lang w:val="en-US"/>
              </w:rPr>
            </m:ctrlPr>
          </m:sSubPr>
          <m:e>
            <m:acc>
              <m:accPr>
                <m:chr m:val="̅"/>
                <m:ctrlPr>
                  <w:rPr>
                    <w:rFonts w:ascii="Cambria Math" w:hAnsi="Cambria Math"/>
                    <w:szCs w:val="24"/>
                    <w:lang w:val="en-US"/>
                  </w:rPr>
                </m:ctrlPr>
              </m:accPr>
              <m:e>
                <m:r>
                  <m:rPr>
                    <m:sty m:val="p"/>
                  </m:rPr>
                  <w:rPr>
                    <w:rFonts w:ascii="Cambria Math" w:hAnsi="Cambria Math"/>
                    <w:szCs w:val="24"/>
                    <w:lang w:val="en-US"/>
                  </w:rPr>
                  <m:t>x</m:t>
                </m:r>
              </m:e>
            </m:acc>
          </m:e>
          <m:sub>
            <m:r>
              <m:rPr>
                <m:sty m:val="p"/>
              </m:rPr>
              <w:rPr>
                <w:rFonts w:ascii="Cambria Math" w:hAnsi="Cambria Math"/>
                <w:szCs w:val="24"/>
                <w:lang w:val="en-US"/>
              </w:rPr>
              <m:t>j</m:t>
            </m:r>
          </m:sub>
        </m:sSub>
        <m:r>
          <m:rPr>
            <m:sty m:val="p"/>
          </m:rPr>
          <w:rPr>
            <w:rFonts w:ascii="Cambria Math" w:hAnsi="Cambria Math"/>
            <w:szCs w:val="24"/>
            <w:lang w:val="en-US"/>
          </w:rPr>
          <m:t>=</m:t>
        </m:r>
        <m:f>
          <m:fPr>
            <m:ctrlPr>
              <w:rPr>
                <w:rFonts w:ascii="Cambria Math" w:hAnsi="Cambria Math"/>
                <w:szCs w:val="24"/>
                <w:lang w:val="en-US"/>
              </w:rPr>
            </m:ctrlPr>
          </m:fPr>
          <m:num>
            <m:sSub>
              <m:sSubPr>
                <m:ctrlPr>
                  <w:rPr>
                    <w:rFonts w:ascii="Cambria Math" w:hAnsi="Cambria Math"/>
                    <w:szCs w:val="24"/>
                    <w:lang w:val="en-US"/>
                  </w:rPr>
                </m:ctrlPr>
              </m:sSubPr>
              <m:e>
                <m:nary>
                  <m:naryPr>
                    <m:chr m:val="∑"/>
                    <m:limLoc m:val="undOvr"/>
                    <m:ctrlPr>
                      <w:rPr>
                        <w:rFonts w:ascii="Cambria Math" w:hAnsi="Cambria Math"/>
                        <w:szCs w:val="24"/>
                        <w:lang w:val="en-US"/>
                      </w:rPr>
                    </m:ctrlPr>
                  </m:naryPr>
                  <m:sub>
                    <m:r>
                      <m:rPr>
                        <m:sty m:val="p"/>
                      </m:rPr>
                      <w:rPr>
                        <w:rFonts w:ascii="Cambria Math" w:hAnsi="Cambria Math"/>
                        <w:szCs w:val="24"/>
                        <w:lang w:val="en-US"/>
                      </w:rPr>
                      <m:t>i=1</m:t>
                    </m:r>
                  </m:sub>
                  <m:sup>
                    <m:r>
                      <m:rPr>
                        <m:sty m:val="p"/>
                      </m:rPr>
                      <w:rPr>
                        <w:rFonts w:ascii="Cambria Math" w:hAnsi="Cambria Math"/>
                        <w:szCs w:val="24"/>
                        <w:lang w:val="en-US"/>
                      </w:rPr>
                      <m:t>n</m:t>
                    </m:r>
                  </m:sup>
                  <m:e>
                    <m:r>
                      <m:rPr>
                        <m:sty m:val="p"/>
                      </m:rPr>
                      <w:rPr>
                        <w:rFonts w:ascii="Cambria Math" w:hAnsi="Cambria Math"/>
                        <w:szCs w:val="24"/>
                        <w:lang w:val="en-US"/>
                      </w:rPr>
                      <m:t>x</m:t>
                    </m:r>
                  </m:e>
                </m:nary>
              </m:e>
              <m:sub>
                <m:r>
                  <m:rPr>
                    <m:sty m:val="p"/>
                  </m:rPr>
                  <w:rPr>
                    <w:rFonts w:ascii="Cambria Math" w:hAnsi="Cambria Math"/>
                    <w:szCs w:val="24"/>
                    <w:lang w:val="en-US"/>
                  </w:rPr>
                  <m:t>i,j</m:t>
                </m:r>
              </m:sub>
            </m:sSub>
          </m:num>
          <m:den>
            <m:r>
              <m:rPr>
                <m:sty m:val="p"/>
              </m:rPr>
              <w:rPr>
                <w:rFonts w:ascii="Cambria Math" w:hAnsi="Cambria Math"/>
                <w:szCs w:val="24"/>
                <w:lang w:val="en-US"/>
              </w:rPr>
              <m:t>n</m:t>
            </m:r>
          </m:den>
        </m:f>
        <m:r>
          <m:rPr>
            <m:sty m:val="p"/>
          </m:rPr>
          <w:rPr>
            <w:rFonts w:ascii="Cambria Math" w:hAnsi="Cambria Math"/>
            <w:szCs w:val="24"/>
            <w:lang w:val="en-US"/>
          </w:rPr>
          <m:t>for all j</m:t>
        </m:r>
      </m:oMath>
      <w:r w:rsidRPr="0093175E">
        <w:rPr>
          <w:szCs w:val="24"/>
          <w:lang w:val="en-US"/>
        </w:rPr>
        <w:t xml:space="preserve"> </w:t>
      </w:r>
      <w:r>
        <w:rPr>
          <w:szCs w:val="24"/>
          <w:lang w:val="en-US"/>
        </w:rPr>
        <w:tab/>
        <w:t>(3</w:t>
      </w:r>
      <w:r w:rsidRPr="0093175E">
        <w:rPr>
          <w:szCs w:val="24"/>
          <w:lang w:val="en-US"/>
        </w:rPr>
        <w:t>)</w:t>
      </w:r>
    </w:p>
    <w:p w:rsidR="00FB0884" w:rsidRPr="0093175E" w:rsidRDefault="00FB0884" w:rsidP="00FB0884">
      <w:pPr>
        <w:spacing w:after="240" w:line="276" w:lineRule="auto"/>
        <w:ind w:left="360"/>
        <w:jc w:val="both"/>
        <w:rPr>
          <w:szCs w:val="24"/>
          <w:lang w:val="en-US"/>
        </w:rPr>
      </w:pPr>
      <w:r w:rsidRPr="0093175E">
        <w:rPr>
          <w:szCs w:val="24"/>
          <w:lang w:val="en-US"/>
        </w:rPr>
        <w:t xml:space="preserve">We want to transform the </w:t>
      </w:r>
      <m:oMath>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i,j</m:t>
            </m:r>
          </m:sub>
        </m:sSub>
      </m:oMath>
      <w:r w:rsidRPr="0093175E">
        <w:rPr>
          <w:szCs w:val="24"/>
          <w:lang w:val="en-US"/>
        </w:rPr>
        <w:t xml:space="preserve"> values such that the potential values to be in the [0</w:t>
      </w:r>
      <w:proofErr w:type="gramStart"/>
      <w:r w:rsidRPr="0093175E">
        <w:rPr>
          <w:szCs w:val="24"/>
          <w:lang w:val="en-US"/>
        </w:rPr>
        <w:t>,1</w:t>
      </w:r>
      <w:proofErr w:type="gramEnd"/>
      <w:r w:rsidRPr="0093175E">
        <w:rPr>
          <w:szCs w:val="24"/>
          <w:lang w:val="en-US"/>
        </w:rPr>
        <w:t xml:space="preserve">] range. </w:t>
      </w:r>
    </w:p>
    <w:p w:rsidR="00FB0884" w:rsidRPr="0093175E" w:rsidRDefault="00FB0884" w:rsidP="00FB0884">
      <w:pPr>
        <w:spacing w:after="240" w:line="276" w:lineRule="auto"/>
        <w:ind w:left="360"/>
        <w:jc w:val="center"/>
        <w:rPr>
          <w:szCs w:val="24"/>
          <w:lang w:val="en-US"/>
        </w:rPr>
      </w:pPr>
      <m:oMath>
        <m:sSub>
          <m:sSubPr>
            <m:ctrlPr>
              <w:rPr>
                <w:rFonts w:ascii="Cambria Math" w:hAnsi="Cambria Math"/>
                <w:i/>
                <w:szCs w:val="24"/>
                <w:lang w:val="en-US"/>
              </w:rPr>
            </m:ctrlPr>
          </m:sSubPr>
          <m:e>
            <m:r>
              <w:rPr>
                <w:rFonts w:ascii="Cambria Math" w:hAnsi="Cambria Math"/>
                <w:szCs w:val="24"/>
                <w:lang w:val="en-US"/>
              </w:rPr>
              <m:t>y</m:t>
            </m:r>
          </m:e>
          <m:sub>
            <m:r>
              <w:rPr>
                <w:rFonts w:ascii="Cambria Math" w:hAnsi="Cambria Math"/>
                <w:szCs w:val="24"/>
                <w:lang w:val="en-US"/>
              </w:rPr>
              <m:t>i, j</m:t>
            </m:r>
          </m:sub>
        </m:sSub>
        <m:r>
          <w:rPr>
            <w:rFonts w:ascii="Cambria Math" w:hAnsi="Cambria Math"/>
            <w:szCs w:val="24"/>
            <w:lang w:val="en-US"/>
          </w:rPr>
          <m:t>=</m:t>
        </m:r>
        <m:sSubSup>
          <m:sSubSupPr>
            <m:ctrlPr>
              <w:rPr>
                <w:rFonts w:ascii="Cambria Math" w:hAnsi="Cambria Math"/>
                <w:i/>
                <w:szCs w:val="24"/>
                <w:lang w:val="en-US"/>
              </w:rPr>
            </m:ctrlPr>
          </m:sSubSupPr>
          <m:e>
            <m:r>
              <w:rPr>
                <w:rFonts w:ascii="Cambria Math" w:hAnsi="Cambria Math"/>
                <w:szCs w:val="24"/>
                <w:lang w:val="en-US"/>
              </w:rPr>
              <m:t>x</m:t>
            </m:r>
          </m:e>
          <m:sub>
            <m:r>
              <w:rPr>
                <w:rFonts w:ascii="Cambria Math" w:hAnsi="Cambria Math"/>
                <w:szCs w:val="24"/>
                <w:lang w:val="en-US"/>
              </w:rPr>
              <m:t>i, j</m:t>
            </m:r>
          </m:sub>
          <m:sup>
            <m:r>
              <w:rPr>
                <w:rFonts w:ascii="Cambria Math" w:hAnsi="Cambria Math"/>
                <w:szCs w:val="24"/>
                <w:lang w:val="en-US"/>
              </w:rPr>
              <m:t>k</m:t>
            </m:r>
          </m:sup>
        </m:sSubSup>
      </m:oMath>
      <w:r w:rsidRPr="0093175E">
        <w:rPr>
          <w:szCs w:val="24"/>
          <w:lang w:val="en-US"/>
        </w:rPr>
        <w:tab/>
      </w:r>
      <w:r w:rsidRPr="0093175E">
        <w:rPr>
          <w:szCs w:val="24"/>
          <w:lang w:val="en-US"/>
        </w:rPr>
        <w:tab/>
      </w:r>
      <w:r w:rsidRPr="0093175E">
        <w:rPr>
          <w:szCs w:val="24"/>
          <w:lang w:val="en-US"/>
        </w:rPr>
        <w:tab/>
      </w:r>
      <w:r>
        <w:rPr>
          <w:szCs w:val="24"/>
          <w:lang w:val="en-US"/>
        </w:rPr>
        <w:t>(4</w:t>
      </w:r>
      <w:r w:rsidRPr="0093175E">
        <w:rPr>
          <w:szCs w:val="24"/>
          <w:lang w:val="en-US"/>
        </w:rPr>
        <w:t>)</w:t>
      </w:r>
    </w:p>
    <w:p w:rsidR="00FB0884" w:rsidRPr="0093175E" w:rsidRDefault="00FB0884" w:rsidP="00FB0884">
      <w:pPr>
        <w:spacing w:after="240" w:line="276" w:lineRule="auto"/>
        <w:ind w:left="360"/>
        <w:jc w:val="both"/>
        <w:rPr>
          <w:lang w:val="en-US"/>
        </w:rPr>
      </w:pPr>
      <w:proofErr w:type="gramStart"/>
      <w:r w:rsidRPr="0093175E">
        <w:rPr>
          <w:lang w:val="en-US"/>
        </w:rPr>
        <w:t>where</w:t>
      </w:r>
      <w:proofErr w:type="gramEnd"/>
      <w:r w:rsidRPr="0093175E">
        <w:rPr>
          <w:lang w:val="en-US"/>
        </w:rPr>
        <w:t xml:space="preserve"> </w:t>
      </w:r>
      <w:r w:rsidRPr="0093175E">
        <w:rPr>
          <w:rFonts w:ascii="Cambria Math" w:hAnsi="Cambria Math"/>
          <w:lang w:val="en-US"/>
        </w:rPr>
        <w:t>k</w:t>
      </w:r>
      <w:r w:rsidRPr="0093175E">
        <w:rPr>
          <w:lang w:val="en-US"/>
        </w:rPr>
        <w:t xml:space="preserve"> is the “strength of adjustment”, the </w:t>
      </w:r>
      <w:r w:rsidRPr="0093175E">
        <w:rPr>
          <w:rFonts w:ascii="Cambria Math" w:hAnsi="Cambria Math"/>
          <w:lang w:val="en-US"/>
        </w:rPr>
        <w:t>k</w:t>
      </w:r>
      <w:r w:rsidRPr="0093175E">
        <w:rPr>
          <w:lang w:val="en-US"/>
        </w:rPr>
        <w:t>-</w:t>
      </w:r>
      <w:proofErr w:type="spellStart"/>
      <w:r w:rsidRPr="0093175E">
        <w:rPr>
          <w:lang w:val="en-US"/>
        </w:rPr>
        <w:t>th</w:t>
      </w:r>
      <w:proofErr w:type="spellEnd"/>
      <w:r w:rsidRPr="0093175E">
        <w:rPr>
          <w:lang w:val="en-US"/>
        </w:rPr>
        <w:t xml:space="preserve"> moment of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oMath>
      <w:r w:rsidRPr="0093175E">
        <w:rPr>
          <w:lang w:val="en-US"/>
        </w:rPr>
        <w:t xml:space="preserve"> is exactly the needed average,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y</m:t>
                </m:r>
              </m:e>
            </m:acc>
          </m:e>
          <m:sub>
            <m:r>
              <w:rPr>
                <w:rFonts w:ascii="Cambria Math" w:hAnsi="Cambria Math"/>
                <w:lang w:val="en-US"/>
              </w:rPr>
              <m:t>j</m:t>
            </m:r>
          </m:sub>
        </m:sSub>
      </m:oMath>
    </w:p>
    <w:p w:rsidR="00FB0884" w:rsidRPr="0093175E" w:rsidRDefault="00FB0884" w:rsidP="00FB0884">
      <w:pPr>
        <w:spacing w:after="240" w:line="276" w:lineRule="auto"/>
        <w:ind w:left="360"/>
        <w:jc w:val="both"/>
        <w:rPr>
          <w:szCs w:val="24"/>
          <w:lang w:val="en-US"/>
        </w:rPr>
      </w:pPr>
      <w:r w:rsidRPr="0093175E">
        <w:rPr>
          <w:szCs w:val="24"/>
          <w:lang w:val="en-US"/>
        </w:rPr>
        <w:t xml:space="preserve">We have to find the root of the following equation for </w:t>
      </w:r>
      <w:r w:rsidRPr="0093175E">
        <w:rPr>
          <w:rFonts w:ascii="Cambria Math" w:hAnsi="Cambria Math"/>
          <w:szCs w:val="24"/>
          <w:lang w:val="en-US"/>
        </w:rPr>
        <w:t>k</w:t>
      </w:r>
      <w:r w:rsidRPr="0093175E">
        <w:rPr>
          <w:szCs w:val="24"/>
          <w:lang w:val="en-US"/>
        </w:rPr>
        <w:t>:</w:t>
      </w:r>
    </w:p>
    <w:p w:rsidR="00FB0884" w:rsidRPr="0093175E" w:rsidRDefault="00FB0884" w:rsidP="00FB0884">
      <w:pPr>
        <w:spacing w:after="240" w:line="276" w:lineRule="auto"/>
        <w:ind w:left="360"/>
        <w:jc w:val="center"/>
        <w:rPr>
          <w:szCs w:val="24"/>
          <w:lang w:val="en-US"/>
        </w:rPr>
      </w:pPr>
      <m:oMath>
        <m:nary>
          <m:naryPr>
            <m:chr m:val="∑"/>
            <m:limLoc m:val="undOvr"/>
            <m:ctrlPr>
              <w:rPr>
                <w:rFonts w:ascii="Cambria Math" w:hAnsi="Cambria Math"/>
                <w:i/>
                <w:szCs w:val="24"/>
                <w:lang w:val="en-US"/>
              </w:rPr>
            </m:ctrlPr>
          </m:naryPr>
          <m:sub>
            <m:r>
              <w:rPr>
                <w:rFonts w:ascii="Cambria Math" w:hAnsi="Cambria Math"/>
                <w:szCs w:val="24"/>
                <w:lang w:val="en-US"/>
              </w:rPr>
              <m:t>i=1</m:t>
            </m:r>
          </m:sub>
          <m:sup>
            <m:r>
              <w:rPr>
                <w:rFonts w:ascii="Cambria Math" w:hAnsi="Cambria Math"/>
                <w:szCs w:val="24"/>
                <w:lang w:val="en-US"/>
              </w:rPr>
              <m:t>n</m:t>
            </m:r>
          </m:sup>
          <m:e>
            <m:sSubSup>
              <m:sSubSupPr>
                <m:ctrlPr>
                  <w:rPr>
                    <w:rFonts w:ascii="Cambria Math" w:hAnsi="Cambria Math"/>
                    <w:i/>
                    <w:szCs w:val="24"/>
                    <w:lang w:val="en-US"/>
                  </w:rPr>
                </m:ctrlPr>
              </m:sSubSupPr>
              <m:e>
                <m:r>
                  <w:rPr>
                    <w:rFonts w:ascii="Cambria Math" w:hAnsi="Cambria Math"/>
                    <w:szCs w:val="24"/>
                    <w:lang w:val="en-US"/>
                  </w:rPr>
                  <m:t>x</m:t>
                </m:r>
              </m:e>
              <m:sub>
                <m:r>
                  <w:rPr>
                    <w:rFonts w:ascii="Cambria Math" w:hAnsi="Cambria Math"/>
                    <w:szCs w:val="24"/>
                    <w:lang w:val="en-US"/>
                  </w:rPr>
                  <m:t>i,j</m:t>
                </m:r>
              </m:sub>
              <m:sup>
                <m:r>
                  <w:rPr>
                    <w:rFonts w:ascii="Cambria Math" w:hAnsi="Cambria Math"/>
                    <w:szCs w:val="24"/>
                    <w:lang w:val="en-US"/>
                  </w:rPr>
                  <m:t>k</m:t>
                </m:r>
              </m:sup>
            </m:sSubSup>
            <m:r>
              <w:rPr>
                <w:rFonts w:ascii="Cambria Math" w:hAnsi="Cambria Math"/>
                <w:szCs w:val="24"/>
                <w:lang w:val="en-US"/>
              </w:rPr>
              <m:t>-n</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y</m:t>
                    </m:r>
                  </m:e>
                </m:acc>
              </m:e>
              <m:sub>
                <m:r>
                  <w:rPr>
                    <w:rFonts w:ascii="Cambria Math" w:hAnsi="Cambria Math"/>
                    <w:szCs w:val="24"/>
                    <w:lang w:val="en-US"/>
                  </w:rPr>
                  <m:t>j</m:t>
                </m:r>
              </m:sub>
            </m:sSub>
            <m:r>
              <w:rPr>
                <w:rFonts w:ascii="Cambria Math" w:hAnsi="Cambria Math"/>
                <w:szCs w:val="24"/>
                <w:lang w:val="en-US"/>
              </w:rPr>
              <m:t>=0</m:t>
            </m:r>
          </m:e>
        </m:nary>
      </m:oMath>
      <w:r>
        <w:rPr>
          <w:szCs w:val="24"/>
          <w:lang w:val="en-US"/>
        </w:rPr>
        <w:tab/>
      </w:r>
      <w:r>
        <w:rPr>
          <w:szCs w:val="24"/>
          <w:lang w:val="en-US"/>
        </w:rPr>
        <w:tab/>
        <w:t>(5</w:t>
      </w:r>
      <w:r w:rsidRPr="0093175E">
        <w:rPr>
          <w:szCs w:val="24"/>
          <w:lang w:val="en-US"/>
        </w:rPr>
        <w:t>)</w:t>
      </w:r>
    </w:p>
    <w:p w:rsidR="00525E23" w:rsidRDefault="00FB0884" w:rsidP="00FB0884">
      <w:pPr>
        <w:spacing w:after="240" w:line="276" w:lineRule="auto"/>
        <w:ind w:left="360"/>
        <w:jc w:val="both"/>
        <w:rPr>
          <w:szCs w:val="24"/>
          <w:lang w:val="en-US"/>
        </w:rPr>
      </w:pPr>
      <w:r w:rsidRPr="0093175E">
        <w:rPr>
          <w:szCs w:val="24"/>
          <w:lang w:val="en-US"/>
        </w:rPr>
        <w:t xml:space="preserve">It is easy to see based on previous conditions and derivatives that the function is decreasing and convex which means it can be quickly solved using the well-known Newton-Raphson method with an initial guess of 0. After obtaining </w:t>
      </w:r>
      <w:r w:rsidRPr="0093175E">
        <w:rPr>
          <w:rFonts w:ascii="Cambria Math" w:hAnsi="Cambria Math"/>
          <w:szCs w:val="24"/>
          <w:lang w:val="en-US"/>
        </w:rPr>
        <w:t>k</w:t>
      </w:r>
      <w:r w:rsidRPr="0093175E">
        <w:rPr>
          <w:szCs w:val="24"/>
          <w:lang w:val="en-US"/>
        </w:rPr>
        <w:t xml:space="preserve">, the computations are straightforward. </w:t>
      </w:r>
    </w:p>
    <w:p w:rsidR="00525E23" w:rsidRDefault="00525E23" w:rsidP="00FB0884">
      <w:pPr>
        <w:spacing w:after="240" w:line="276" w:lineRule="auto"/>
        <w:ind w:left="360"/>
        <w:jc w:val="both"/>
        <w:rPr>
          <w:szCs w:val="24"/>
          <w:lang w:val="en-US"/>
        </w:rPr>
      </w:pPr>
    </w:p>
    <w:p w:rsidR="00525E23" w:rsidRDefault="00525E23" w:rsidP="00FB0884">
      <w:pPr>
        <w:spacing w:after="240" w:line="276" w:lineRule="auto"/>
        <w:ind w:left="360"/>
        <w:jc w:val="both"/>
        <w:rPr>
          <w:szCs w:val="24"/>
          <w:lang w:val="en-US"/>
        </w:rPr>
      </w:pPr>
    </w:p>
    <w:p w:rsidR="00FB0884" w:rsidRPr="0093175E" w:rsidRDefault="00FB0884" w:rsidP="00FB0884">
      <w:pPr>
        <w:spacing w:after="240" w:line="276" w:lineRule="auto"/>
        <w:ind w:left="360"/>
        <w:jc w:val="both"/>
        <w:rPr>
          <w:szCs w:val="24"/>
          <w:lang w:val="en-US"/>
        </w:rPr>
      </w:pPr>
      <w:r w:rsidRPr="0093175E">
        <w:rPr>
          <w:szCs w:val="24"/>
          <w:lang w:val="en-US"/>
        </w:rPr>
        <w:t xml:space="preserve">Note that if </w:t>
      </w:r>
    </w:p>
    <w:p w:rsidR="00FB0884" w:rsidRPr="0093175E" w:rsidRDefault="00FB0884" w:rsidP="00FB0884">
      <w:pPr>
        <w:spacing w:after="240" w:line="276" w:lineRule="auto"/>
        <w:ind w:left="360"/>
        <w:jc w:val="center"/>
        <w:rPr>
          <w:szCs w:val="24"/>
          <w:lang w:val="en-US"/>
        </w:rPr>
      </w:pPr>
      <m:oMath>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x</m:t>
                </m:r>
              </m:e>
            </m:acc>
          </m:e>
          <m:sub>
            <m:r>
              <w:rPr>
                <w:rFonts w:ascii="Cambria Math" w:hAnsi="Cambria Math"/>
                <w:szCs w:val="24"/>
                <w:lang w:val="en-US"/>
              </w:rPr>
              <m:t>j</m:t>
            </m:r>
          </m:sub>
        </m:sSub>
        <m:r>
          <w:rPr>
            <w:rFonts w:ascii="Cambria Math" w:hAnsi="Cambria Math"/>
            <w:szCs w:val="24"/>
            <w:lang w:val="en-US"/>
          </w:rPr>
          <m:t>&lt;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y</m:t>
                </m:r>
              </m:e>
            </m:acc>
          </m:e>
          <m:sub>
            <m:r>
              <w:rPr>
                <w:rFonts w:ascii="Cambria Math" w:hAnsi="Cambria Math"/>
                <w:szCs w:val="24"/>
                <w:lang w:val="en-US"/>
              </w:rPr>
              <m:t>j</m:t>
            </m:r>
          </m:sub>
        </m:sSub>
      </m:oMath>
      <w:r w:rsidRPr="0093175E">
        <w:rPr>
          <w:szCs w:val="24"/>
          <w:lang w:val="en-US"/>
        </w:rPr>
        <w:tab/>
      </w:r>
      <m:oMath>
        <m:r>
          <w:rPr>
            <w:rFonts w:ascii="Cambria Math" w:hAnsi="Cambria Math"/>
            <w:szCs w:val="24"/>
            <w:lang w:val="en-US"/>
          </w:rPr>
          <m:t>k&lt;1</m:t>
        </m:r>
      </m:oMath>
    </w:p>
    <w:p w:rsidR="00FB0884" w:rsidRPr="0093175E" w:rsidRDefault="00FB0884" w:rsidP="00FB0884">
      <w:pPr>
        <w:spacing w:after="240" w:line="276" w:lineRule="auto"/>
        <w:ind w:left="360"/>
        <w:jc w:val="center"/>
        <w:rPr>
          <w:szCs w:val="24"/>
          <w:lang w:val="en-US"/>
        </w:rPr>
      </w:pPr>
      <m:oMath>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x</m:t>
                </m:r>
              </m:e>
            </m:acc>
          </m:e>
          <m:sub>
            <m:r>
              <w:rPr>
                <w:rFonts w:ascii="Cambria Math" w:hAnsi="Cambria Math"/>
                <w:szCs w:val="24"/>
                <w:lang w:val="en-US"/>
              </w:rPr>
              <m:t>j</m:t>
            </m:r>
          </m:sub>
        </m:sSub>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y</m:t>
                </m:r>
              </m:e>
            </m:acc>
          </m:e>
          <m:sub>
            <m:r>
              <w:rPr>
                <w:rFonts w:ascii="Cambria Math" w:hAnsi="Cambria Math"/>
                <w:szCs w:val="24"/>
                <w:lang w:val="en-US"/>
              </w:rPr>
              <m:t>j</m:t>
            </m:r>
          </m:sub>
        </m:sSub>
      </m:oMath>
      <w:r w:rsidRPr="0093175E">
        <w:rPr>
          <w:szCs w:val="24"/>
          <w:lang w:val="en-US"/>
        </w:rPr>
        <w:tab/>
      </w:r>
      <m:oMath>
        <m:r>
          <w:rPr>
            <w:rFonts w:ascii="Cambria Math" w:hAnsi="Cambria Math"/>
            <w:szCs w:val="24"/>
            <w:lang w:val="en-US"/>
          </w:rPr>
          <m:t>k=1</m:t>
        </m:r>
      </m:oMath>
    </w:p>
    <w:p w:rsidR="00FB0884" w:rsidRPr="0093175E" w:rsidRDefault="00FB0884" w:rsidP="00FB0884">
      <w:pPr>
        <w:spacing w:line="276" w:lineRule="auto"/>
        <w:ind w:left="360"/>
        <w:jc w:val="center"/>
        <w:rPr>
          <w:szCs w:val="24"/>
          <w:lang w:val="en-US"/>
        </w:rPr>
      </w:pPr>
      <m:oMath>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x</m:t>
                </m:r>
              </m:e>
            </m:acc>
          </m:e>
          <m:sub>
            <m:r>
              <w:rPr>
                <w:rFonts w:ascii="Cambria Math" w:hAnsi="Cambria Math"/>
                <w:szCs w:val="24"/>
                <w:lang w:val="en-US"/>
              </w:rPr>
              <m:t>j</m:t>
            </m:r>
          </m:sub>
        </m:sSub>
        <m:r>
          <w:rPr>
            <w:rFonts w:ascii="Cambria Math" w:hAnsi="Cambria Math"/>
            <w:szCs w:val="24"/>
            <w:lang w:val="en-US"/>
          </w:rPr>
          <m:t>&gt;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y</m:t>
                </m:r>
              </m:e>
            </m:acc>
          </m:e>
          <m:sub>
            <m:r>
              <w:rPr>
                <w:rFonts w:ascii="Cambria Math" w:hAnsi="Cambria Math"/>
                <w:szCs w:val="24"/>
                <w:lang w:val="en-US"/>
              </w:rPr>
              <m:t>j</m:t>
            </m:r>
          </m:sub>
        </m:sSub>
      </m:oMath>
      <w:r w:rsidRPr="0093175E">
        <w:rPr>
          <w:szCs w:val="24"/>
          <w:lang w:val="en-US"/>
        </w:rPr>
        <w:tab/>
      </w:r>
      <m:oMath>
        <m:r>
          <w:rPr>
            <w:rFonts w:ascii="Cambria Math" w:hAnsi="Cambria Math"/>
            <w:szCs w:val="24"/>
            <w:lang w:val="en-US"/>
          </w:rPr>
          <m:t>k&gt;1</m:t>
        </m:r>
      </m:oMath>
    </w:p>
    <w:p w:rsidR="00FB0884" w:rsidRPr="00DF4CD5" w:rsidRDefault="00FB0884" w:rsidP="00FB0884">
      <w:pPr>
        <w:spacing w:after="240" w:line="276" w:lineRule="auto"/>
        <w:ind w:left="360"/>
        <w:jc w:val="both"/>
        <w:rPr>
          <w:rFonts w:eastAsia="Times New Roman"/>
          <w:sz w:val="24"/>
          <w:szCs w:val="24"/>
          <w:lang w:val="en-US" w:eastAsia="hu-HU"/>
        </w:rPr>
      </w:pPr>
      <w:proofErr w:type="gramStart"/>
      <w:r w:rsidRPr="0093175E">
        <w:rPr>
          <w:szCs w:val="24"/>
          <w:lang w:val="en-US"/>
        </w:rPr>
        <w:t>that</w:t>
      </w:r>
      <w:proofErr w:type="gramEnd"/>
      <w:r w:rsidRPr="0093175E">
        <w:rPr>
          <w:szCs w:val="24"/>
          <w:lang w:val="en-US"/>
        </w:rPr>
        <w:t xml:space="preserve"> is k be thought of as the strength (and direction) of adjustment.</w:t>
      </w:r>
    </w:p>
    <w:p w:rsidR="00FB0884" w:rsidRPr="0078485C" w:rsidRDefault="00FB0884" w:rsidP="00FB0884">
      <w:pPr>
        <w:spacing w:line="240" w:lineRule="auto"/>
        <w:ind w:left="567"/>
        <w:rPr>
          <w:sz w:val="24"/>
          <w:szCs w:val="24"/>
          <w:lang w:val="en-US" w:eastAsia="hu-HU"/>
        </w:rPr>
      </w:pPr>
      <w:r w:rsidRPr="0078485C">
        <w:rPr>
          <w:sz w:val="24"/>
          <w:szCs w:val="24"/>
          <w:lang w:val="en-US" w:eastAsia="hu-HU"/>
        </w:rPr>
        <w:t xml:space="preserve">The average marginal rate of compensation (AMRC) for any two average pillars </w:t>
      </w:r>
      <w:proofErr w:type="spellStart"/>
      <w:r w:rsidRPr="0078485C">
        <w:rPr>
          <w:i/>
          <w:sz w:val="24"/>
          <w:szCs w:val="24"/>
          <w:lang w:val="en-US" w:eastAsia="hu-HU"/>
        </w:rPr>
        <w:t>i</w:t>
      </w:r>
      <w:proofErr w:type="spellEnd"/>
      <w:r w:rsidRPr="0078485C">
        <w:rPr>
          <w:i/>
          <w:sz w:val="24"/>
          <w:szCs w:val="24"/>
          <w:lang w:val="en-US" w:eastAsia="hu-HU"/>
        </w:rPr>
        <w:t xml:space="preserve"> </w:t>
      </w:r>
      <w:r w:rsidRPr="0078485C">
        <w:rPr>
          <w:sz w:val="24"/>
          <w:szCs w:val="24"/>
          <w:lang w:val="en-US" w:eastAsia="hu-HU"/>
        </w:rPr>
        <w:t xml:space="preserve">and </w:t>
      </w:r>
      <w:r w:rsidRPr="0078485C">
        <w:rPr>
          <w:i/>
          <w:sz w:val="24"/>
          <w:szCs w:val="24"/>
          <w:lang w:val="en-US" w:eastAsia="hu-HU"/>
        </w:rPr>
        <w:t>j</w:t>
      </w:r>
      <w:r w:rsidRPr="0078485C">
        <w:rPr>
          <w:sz w:val="24"/>
          <w:szCs w:val="24"/>
          <w:lang w:val="en-US" w:eastAsia="hu-HU"/>
        </w:rPr>
        <w:t xml:space="preserve"> is the same:</w:t>
      </w:r>
    </w:p>
    <w:p w:rsidR="00FB0884" w:rsidRPr="00DF4CD5" w:rsidRDefault="00FB0884" w:rsidP="00FB0884">
      <w:pPr>
        <w:spacing w:line="360" w:lineRule="auto"/>
        <w:jc w:val="center"/>
        <w:rPr>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AMRC</m:t>
            </m:r>
          </m:e>
          <m:sub>
            <m:r>
              <w:rPr>
                <w:rFonts w:ascii="Cambria Math" w:hAnsi="Cambria Math"/>
                <w:sz w:val="24"/>
                <w:szCs w:val="24"/>
                <w:lang w:val="en-US"/>
              </w:rPr>
              <m:t>i,j</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d</m:t>
                </m:r>
                <m:acc>
                  <m:accPr>
                    <m:chr m:val="̅"/>
                    <m:ctrlPr>
                      <w:rPr>
                        <w:rFonts w:ascii="Cambria Math" w:hAnsi="Cambria Math"/>
                        <w:i/>
                        <w:sz w:val="24"/>
                        <w:szCs w:val="24"/>
                        <w:lang w:val="en-US"/>
                      </w:rPr>
                    </m:ctrlPr>
                  </m:accPr>
                  <m:e>
                    <m:r>
                      <w:rPr>
                        <w:rFonts w:ascii="Cambria Math" w:hAnsi="Cambria Math"/>
                        <w:sz w:val="24"/>
                        <w:szCs w:val="24"/>
                        <w:lang w:val="en-US"/>
                      </w:rPr>
                      <m:t>y</m:t>
                    </m:r>
                  </m:e>
                </m:acc>
              </m:e>
              <m:sub>
                <m:r>
                  <w:rPr>
                    <w:rFonts w:ascii="Cambria Math" w:hAnsi="Cambria Math"/>
                    <w:sz w:val="24"/>
                    <w:szCs w:val="24"/>
                    <w:lang w:val="en-US"/>
                  </w:rPr>
                  <m:t>i</m:t>
                </m:r>
              </m:sub>
            </m:sSub>
          </m:num>
          <m:den>
            <m:sSub>
              <m:sSubPr>
                <m:ctrlPr>
                  <w:rPr>
                    <w:rFonts w:ascii="Cambria Math" w:hAnsi="Cambria Math"/>
                    <w:i/>
                    <w:sz w:val="24"/>
                    <w:szCs w:val="24"/>
                    <w:lang w:val="en-US"/>
                  </w:rPr>
                </m:ctrlPr>
              </m:sSubPr>
              <m:e>
                <m:r>
                  <w:rPr>
                    <w:rFonts w:ascii="Cambria Math" w:hAnsi="Cambria Math"/>
                    <w:sz w:val="24"/>
                    <w:szCs w:val="24"/>
                    <w:lang w:val="en-US"/>
                  </w:rPr>
                  <m:t>d</m:t>
                </m:r>
                <m:acc>
                  <m:accPr>
                    <m:chr m:val="̅"/>
                    <m:ctrlPr>
                      <w:rPr>
                        <w:rFonts w:ascii="Cambria Math" w:hAnsi="Cambria Math"/>
                        <w:i/>
                        <w:sz w:val="24"/>
                        <w:szCs w:val="24"/>
                        <w:lang w:val="en-US"/>
                      </w:rPr>
                    </m:ctrlPr>
                  </m:accPr>
                  <m:e>
                    <m:r>
                      <w:rPr>
                        <w:rFonts w:ascii="Cambria Math" w:hAnsi="Cambria Math"/>
                        <w:sz w:val="24"/>
                        <w:szCs w:val="24"/>
                        <w:lang w:val="en-US"/>
                      </w:rPr>
                      <m:t>y</m:t>
                    </m:r>
                  </m:e>
                </m:acc>
              </m:e>
              <m:sub>
                <m:r>
                  <w:rPr>
                    <w:rFonts w:ascii="Cambria Math" w:hAnsi="Cambria Math"/>
                    <w:sz w:val="24"/>
                    <w:szCs w:val="24"/>
                    <w:lang w:val="en-US"/>
                  </w:rPr>
                  <m:t>j</m:t>
                </m:r>
              </m:sub>
            </m:sSub>
          </m:den>
        </m:f>
      </m:oMath>
      <w:r w:rsidRPr="00DF4CD5">
        <w:rPr>
          <w:sz w:val="24"/>
          <w:szCs w:val="24"/>
          <w:lang w:val="en-US"/>
        </w:rPr>
        <w:tab/>
      </w:r>
      <w:r w:rsidRPr="00DF4CD5">
        <w:rPr>
          <w:sz w:val="24"/>
          <w:szCs w:val="24"/>
          <w:lang w:val="en-US"/>
        </w:rPr>
        <w:tab/>
      </w:r>
      <w:r w:rsidRPr="00DF4CD5">
        <w:rPr>
          <w:sz w:val="24"/>
          <w:szCs w:val="24"/>
          <w:lang w:val="en-US"/>
        </w:rPr>
        <w:tab/>
        <w:t>(6)</w:t>
      </w:r>
    </w:p>
    <w:p w:rsidR="00FB0884" w:rsidRPr="0078485C" w:rsidRDefault="00FB0884" w:rsidP="00FB0884">
      <w:pPr>
        <w:spacing w:line="240" w:lineRule="auto"/>
        <w:ind w:left="708"/>
        <w:rPr>
          <w:sz w:val="24"/>
          <w:szCs w:val="24"/>
          <w:lang w:val="en-US" w:eastAsia="hu-HU"/>
        </w:rPr>
      </w:pPr>
      <w:r w:rsidRPr="0078485C">
        <w:rPr>
          <w:sz w:val="24"/>
          <w:szCs w:val="24"/>
          <w:lang w:val="en-US" w:eastAsia="hu-HU"/>
        </w:rPr>
        <w:t>The adjusted pillar values are calculated for</w:t>
      </w:r>
      <w:r>
        <w:rPr>
          <w:sz w:val="24"/>
          <w:szCs w:val="24"/>
          <w:lang w:val="en-US" w:eastAsia="hu-HU"/>
        </w:rPr>
        <w:t xml:space="preserve"> </w:t>
      </w:r>
      <w:r w:rsidRPr="0078485C">
        <w:rPr>
          <w:sz w:val="24"/>
          <w:szCs w:val="24"/>
          <w:lang w:val="en-US" w:eastAsia="hu-HU"/>
        </w:rPr>
        <w:t>the</w:t>
      </w:r>
      <w:r>
        <w:rPr>
          <w:sz w:val="24"/>
          <w:szCs w:val="24"/>
          <w:lang w:val="en-US" w:eastAsia="hu-HU"/>
        </w:rPr>
        <w:t xml:space="preserve"> both time period, combined. </w:t>
      </w:r>
    </w:p>
    <w:p w:rsidR="00FB0884" w:rsidRPr="0078485C" w:rsidRDefault="00FB0884" w:rsidP="00FB0884">
      <w:pPr>
        <w:numPr>
          <w:ilvl w:val="0"/>
          <w:numId w:val="20"/>
        </w:numPr>
        <w:spacing w:after="0" w:line="240" w:lineRule="auto"/>
        <w:ind w:left="567" w:hanging="567"/>
        <w:contextualSpacing/>
        <w:rPr>
          <w:rFonts w:eastAsia="Times New Roman" w:cstheme="minorHAnsi"/>
          <w:sz w:val="24"/>
          <w:szCs w:val="24"/>
          <w:lang w:val="en-US" w:eastAsia="hu-HU"/>
        </w:rPr>
      </w:pPr>
      <w:r w:rsidRPr="0078485C">
        <w:rPr>
          <w:rFonts w:eastAsia="Times New Roman" w:cstheme="minorHAnsi"/>
          <w:b/>
          <w:i/>
          <w:sz w:val="24"/>
          <w:szCs w:val="24"/>
          <w:lang w:val="en-US" w:eastAsia="hu-HU"/>
        </w:rPr>
        <w:t>Penalizing:</w:t>
      </w:r>
      <w:r w:rsidRPr="0078485C">
        <w:rPr>
          <w:rFonts w:eastAsia="Times New Roman" w:cstheme="minorHAnsi"/>
          <w:sz w:val="24"/>
          <w:szCs w:val="24"/>
          <w:lang w:val="en-US" w:eastAsia="hu-HU"/>
        </w:rPr>
        <w:t xml:space="preserve"> After these transformations, the penalty </w:t>
      </w:r>
      <w:r>
        <w:rPr>
          <w:rFonts w:eastAsia="Times New Roman" w:cstheme="minorHAnsi"/>
          <w:sz w:val="24"/>
          <w:szCs w:val="24"/>
          <w:lang w:val="en-US" w:eastAsia="hu-HU"/>
        </w:rPr>
        <w:t>f</w:t>
      </w:r>
      <w:r w:rsidRPr="0078485C">
        <w:rPr>
          <w:rFonts w:eastAsia="Times New Roman" w:cstheme="minorHAnsi"/>
          <w:sz w:val="24"/>
          <w:szCs w:val="24"/>
          <w:lang w:val="en-US" w:eastAsia="hu-HU"/>
        </w:rPr>
        <w:t>or bottleneck</w:t>
      </w:r>
      <w:r>
        <w:rPr>
          <w:rFonts w:eastAsia="Times New Roman" w:cstheme="minorHAnsi"/>
          <w:sz w:val="24"/>
          <w:szCs w:val="24"/>
          <w:lang w:val="en-US" w:eastAsia="hu-HU"/>
        </w:rPr>
        <w:t xml:space="preserve"> </w:t>
      </w:r>
      <w:r w:rsidRPr="0078485C">
        <w:rPr>
          <w:rFonts w:eastAsia="Times New Roman" w:cstheme="minorHAnsi"/>
          <w:sz w:val="24"/>
          <w:szCs w:val="24"/>
          <w:lang w:val="en-US" w:eastAsia="hu-HU"/>
        </w:rPr>
        <w:t xml:space="preserve">methodology was used to create pillar-adjusted PFB values. A bottleneck is defined as the worst performing link or a binding constraint in a particular country’s system of entrepreneurship. Here, bottleneck means a shortage or the lowest level of a particular pillar, relative to other pillars. This notion of a bottleneck is important for policy purposes. Our model suggests that pillars interact; if they are out of balance, entrepreneurship is inhibited. The pillar values should be adjusted in a way that takes into account this notion of balance. After equalizing the pillar averages, the value of each pillar of a country is penalized by linking it to the score of the pillar with the weakest scores in that country. This simulates the notion of a bottleneck; if the weakest pillar were improved, the whole GEI would show a significant improvement. </w:t>
      </w:r>
    </w:p>
    <w:p w:rsidR="00FB0884" w:rsidRDefault="00FB0884" w:rsidP="00FB0884">
      <w:pPr>
        <w:spacing w:line="240" w:lineRule="auto"/>
        <w:ind w:left="567"/>
        <w:rPr>
          <w:rFonts w:cstheme="minorHAnsi"/>
          <w:sz w:val="24"/>
          <w:szCs w:val="24"/>
          <w:lang w:val="en-US" w:eastAsia="hu-HU"/>
        </w:rPr>
      </w:pPr>
      <w:r w:rsidRPr="0078485C">
        <w:rPr>
          <w:rFonts w:cstheme="minorHAnsi"/>
          <w:sz w:val="24"/>
          <w:szCs w:val="24"/>
          <w:lang w:val="en-US" w:eastAsia="hu-HU"/>
        </w:rPr>
        <w:t>We define our penalty function</w:t>
      </w:r>
      <w:r>
        <w:rPr>
          <w:rFonts w:cstheme="minorHAnsi"/>
          <w:sz w:val="24"/>
          <w:szCs w:val="24"/>
          <w:lang w:val="en-US" w:eastAsia="hu-HU"/>
        </w:rPr>
        <w:t xml:space="preserve"> </w:t>
      </w:r>
      <w:r w:rsidRPr="0078485C">
        <w:rPr>
          <w:rFonts w:cstheme="minorHAnsi"/>
          <w:sz w:val="24"/>
          <w:szCs w:val="24"/>
          <w:lang w:val="en-US" w:eastAsia="hu-HU"/>
        </w:rPr>
        <w:t>as:</w:t>
      </w:r>
    </w:p>
    <w:p w:rsidR="00FB0884" w:rsidRPr="0078485C" w:rsidRDefault="00FB0884" w:rsidP="00FB0884">
      <w:pPr>
        <w:spacing w:line="240" w:lineRule="auto"/>
        <w:jc w:val="center"/>
        <w:rPr>
          <w:rFonts w:eastAsia="Times New Roman" w:cstheme="minorHAnsi"/>
          <w:sz w:val="24"/>
          <w:szCs w:val="24"/>
          <w:lang w:val="en-US" w:eastAsia="hu-HU"/>
        </w:rPr>
      </w:pPr>
      <m:oMath>
        <m:sSub>
          <m:sSubPr>
            <m:ctrlPr>
              <w:rPr>
                <w:rFonts w:ascii="Cambria Math" w:eastAsia="Times New Roman" w:hAnsi="Cambria Math" w:cstheme="minorHAnsi"/>
                <w:sz w:val="24"/>
                <w:szCs w:val="24"/>
                <w:lang w:val="en-US" w:eastAsia="hu-HU"/>
              </w:rPr>
            </m:ctrlPr>
          </m:sSubPr>
          <m:e>
            <m:r>
              <w:rPr>
                <w:rFonts w:ascii="Cambria Math" w:eastAsia="Times New Roman" w:hAnsi="Cambria Math" w:cstheme="minorHAnsi"/>
                <w:sz w:val="24"/>
                <w:szCs w:val="24"/>
                <w:lang w:val="en-US" w:eastAsia="hu-HU"/>
              </w:rPr>
              <m:t>h</m:t>
            </m:r>
          </m:e>
          <m:sub>
            <m:r>
              <m:rPr>
                <m:sty m:val="p"/>
              </m:rPr>
              <w:rPr>
                <w:rFonts w:ascii="Cambria Math" w:eastAsia="Times New Roman" w:hAnsi="Cambria Math" w:cstheme="minorHAnsi"/>
                <w:sz w:val="24"/>
                <w:szCs w:val="24"/>
                <w:lang w:val="en-US" w:eastAsia="hu-HU"/>
              </w:rPr>
              <m:t>(</m:t>
            </m:r>
            <m:r>
              <w:rPr>
                <w:rFonts w:ascii="Cambria Math" w:eastAsia="Times New Roman" w:hAnsi="Cambria Math" w:cstheme="minorHAnsi"/>
                <w:sz w:val="24"/>
                <w:szCs w:val="24"/>
                <w:lang w:val="en-US" w:eastAsia="hu-HU"/>
              </w:rPr>
              <m:t>i</m:t>
            </m:r>
            <m:r>
              <m:rPr>
                <m:sty m:val="p"/>
              </m:rPr>
              <w:rPr>
                <w:rFonts w:ascii="Cambria Math" w:eastAsia="Times New Roman" w:hAnsi="Cambria Math" w:cstheme="minorHAnsi"/>
                <w:sz w:val="24"/>
                <w:szCs w:val="24"/>
                <w:lang w:val="en-US" w:eastAsia="hu-HU"/>
              </w:rPr>
              <m:t>),</m:t>
            </m:r>
            <m:r>
              <w:rPr>
                <w:rFonts w:ascii="Cambria Math" w:eastAsia="Times New Roman" w:hAnsi="Cambria Math" w:cstheme="minorHAnsi"/>
                <w:sz w:val="24"/>
                <w:szCs w:val="24"/>
                <w:lang w:val="en-US" w:eastAsia="hu-HU"/>
              </w:rPr>
              <m:t>j</m:t>
            </m:r>
          </m:sub>
        </m:sSub>
        <m:r>
          <m:rPr>
            <m:sty m:val="p"/>
          </m:rPr>
          <w:rPr>
            <w:rFonts w:ascii="Cambria Math" w:eastAsia="Times New Roman" w:hAnsi="Cambria Math" w:cstheme="minorHAnsi"/>
            <w:sz w:val="24"/>
            <w:szCs w:val="24"/>
            <w:lang w:val="en-US" w:eastAsia="hu-HU"/>
          </w:rPr>
          <m:t>=</m:t>
        </m:r>
        <m:sSub>
          <m:sSubPr>
            <m:ctrlPr>
              <w:rPr>
                <w:rFonts w:ascii="Cambria Math" w:eastAsia="Times New Roman" w:hAnsi="Cambria Math" w:cstheme="minorHAnsi"/>
                <w:sz w:val="24"/>
                <w:szCs w:val="24"/>
                <w:lang w:val="en-US" w:eastAsia="hu-HU"/>
              </w:rPr>
            </m:ctrlPr>
          </m:sSubPr>
          <m:e>
            <m:r>
              <w:rPr>
                <w:rFonts w:ascii="Cambria Math" w:eastAsia="Times New Roman" w:hAnsi="Cambria Math" w:cstheme="minorHAnsi"/>
                <w:sz w:val="24"/>
                <w:szCs w:val="24"/>
                <w:lang w:val="en-US" w:eastAsia="hu-HU"/>
              </w:rPr>
              <m:t>min</m:t>
            </m:r>
            <m:r>
              <m:rPr>
                <m:sty m:val="p"/>
              </m:rPr>
              <w:rPr>
                <w:rFonts w:ascii="Cambria Math" w:eastAsia="Times New Roman" w:hAnsi="Cambria Math" w:cstheme="minorHAnsi"/>
                <w:sz w:val="24"/>
                <w:szCs w:val="24"/>
                <w:lang w:val="en-US" w:eastAsia="hu-HU"/>
              </w:rPr>
              <m:t xml:space="preserve"> </m:t>
            </m:r>
            <m:r>
              <w:rPr>
                <w:rFonts w:ascii="Cambria Math" w:eastAsia="Times New Roman" w:hAnsi="Cambria Math" w:cstheme="minorHAnsi"/>
                <w:sz w:val="24"/>
                <w:szCs w:val="24"/>
                <w:lang w:val="en-US" w:eastAsia="hu-HU"/>
              </w:rPr>
              <m:t>y</m:t>
            </m:r>
          </m:e>
          <m:sub>
            <m:r>
              <m:rPr>
                <m:sty m:val="p"/>
              </m:rPr>
              <w:rPr>
                <w:rFonts w:ascii="Cambria Math" w:eastAsia="Times New Roman" w:hAnsi="Cambria Math" w:cstheme="minorHAnsi"/>
                <w:sz w:val="24"/>
                <w:szCs w:val="24"/>
                <w:lang w:val="en-US" w:eastAsia="hu-HU"/>
              </w:rPr>
              <m:t>(</m:t>
            </m:r>
            <m:r>
              <w:rPr>
                <w:rFonts w:ascii="Cambria Math" w:eastAsia="Times New Roman" w:hAnsi="Cambria Math" w:cstheme="minorHAnsi"/>
                <w:sz w:val="24"/>
                <w:szCs w:val="24"/>
                <w:lang w:val="en-US" w:eastAsia="hu-HU"/>
              </w:rPr>
              <m:t>i</m:t>
            </m:r>
            <m:r>
              <m:rPr>
                <m:sty m:val="p"/>
              </m:rPr>
              <w:rPr>
                <w:rFonts w:ascii="Cambria Math" w:eastAsia="Times New Roman" w:hAnsi="Cambria Math" w:cstheme="minorHAnsi"/>
                <w:sz w:val="24"/>
                <w:szCs w:val="24"/>
                <w:lang w:val="en-US" w:eastAsia="hu-HU"/>
              </w:rPr>
              <m:t>),</m:t>
            </m:r>
            <m:r>
              <w:rPr>
                <w:rFonts w:ascii="Cambria Math" w:eastAsia="Times New Roman" w:hAnsi="Cambria Math" w:cstheme="minorHAnsi"/>
                <w:sz w:val="24"/>
                <w:szCs w:val="24"/>
                <w:lang w:val="en-US" w:eastAsia="hu-HU"/>
              </w:rPr>
              <m:t>j</m:t>
            </m:r>
          </m:sub>
        </m:sSub>
        <m:r>
          <m:rPr>
            <m:sty m:val="p"/>
          </m:rPr>
          <w:rPr>
            <w:rFonts w:ascii="Cambria Math" w:eastAsia="Times New Roman" w:hAnsi="Cambria Math" w:cstheme="minorHAnsi"/>
            <w:sz w:val="24"/>
            <w:szCs w:val="24"/>
            <w:lang w:val="en-US" w:eastAsia="hu-HU"/>
          </w:rPr>
          <m:t>+a(1-</m:t>
        </m:r>
        <m:sSup>
          <m:sSupPr>
            <m:ctrlPr>
              <w:rPr>
                <w:rFonts w:ascii="Cambria Math" w:eastAsia="Times New Roman" w:hAnsi="Cambria Math" w:cstheme="minorHAnsi"/>
                <w:sz w:val="24"/>
                <w:szCs w:val="24"/>
                <w:lang w:val="en-US" w:eastAsia="hu-HU"/>
              </w:rPr>
            </m:ctrlPr>
          </m:sSupPr>
          <m:e>
            <m:r>
              <w:rPr>
                <w:rFonts w:ascii="Cambria Math" w:eastAsia="Times New Roman" w:hAnsi="Cambria Math" w:cstheme="minorHAnsi"/>
                <w:sz w:val="24"/>
                <w:szCs w:val="24"/>
                <w:lang w:val="en-US" w:eastAsia="hu-HU"/>
              </w:rPr>
              <m:t>e</m:t>
            </m:r>
          </m:e>
          <m:sup>
            <m:r>
              <m:rPr>
                <m:sty m:val="p"/>
              </m:rPr>
              <w:rPr>
                <w:rFonts w:ascii="Cambria Math" w:eastAsia="Times New Roman" w:hAnsi="Cambria Math" w:cstheme="minorHAnsi"/>
                <w:sz w:val="24"/>
                <w:szCs w:val="24"/>
                <w:lang w:val="en-US" w:eastAsia="hu-HU"/>
              </w:rPr>
              <m:t>-b</m:t>
            </m:r>
            <m:d>
              <m:dPr>
                <m:ctrlPr>
                  <w:rPr>
                    <w:rFonts w:ascii="Cambria Math" w:eastAsia="Times New Roman" w:hAnsi="Cambria Math" w:cstheme="minorHAnsi"/>
                    <w:sz w:val="24"/>
                    <w:szCs w:val="24"/>
                    <w:lang w:val="en-US" w:eastAsia="hu-HU"/>
                  </w:rPr>
                </m:ctrlPr>
              </m:dPr>
              <m:e>
                <m:sSub>
                  <m:sSubPr>
                    <m:ctrlPr>
                      <w:rPr>
                        <w:rFonts w:ascii="Cambria Math" w:eastAsia="Times New Roman" w:hAnsi="Cambria Math" w:cstheme="minorHAnsi"/>
                        <w:sz w:val="24"/>
                        <w:szCs w:val="24"/>
                        <w:lang w:val="en-US" w:eastAsia="hu-HU"/>
                      </w:rPr>
                    </m:ctrlPr>
                  </m:sSubPr>
                  <m:e>
                    <m:r>
                      <w:rPr>
                        <w:rFonts w:ascii="Cambria Math" w:eastAsia="Times New Roman" w:hAnsi="Cambria Math" w:cstheme="minorHAnsi"/>
                        <w:sz w:val="24"/>
                        <w:szCs w:val="24"/>
                        <w:lang w:val="en-US" w:eastAsia="hu-HU"/>
                      </w:rPr>
                      <m:t>y</m:t>
                    </m:r>
                  </m:e>
                  <m:sub>
                    <m:r>
                      <m:rPr>
                        <m:sty m:val="p"/>
                      </m:rPr>
                      <w:rPr>
                        <w:rFonts w:ascii="Cambria Math" w:eastAsia="Times New Roman" w:hAnsi="Cambria Math" w:cstheme="minorHAnsi"/>
                        <w:sz w:val="24"/>
                        <w:szCs w:val="24"/>
                        <w:lang w:val="en-US" w:eastAsia="hu-HU"/>
                      </w:rPr>
                      <m:t>(</m:t>
                    </m:r>
                    <m:r>
                      <w:rPr>
                        <w:rFonts w:ascii="Cambria Math" w:eastAsia="Times New Roman" w:hAnsi="Cambria Math" w:cstheme="minorHAnsi"/>
                        <w:sz w:val="24"/>
                        <w:szCs w:val="24"/>
                        <w:lang w:val="en-US" w:eastAsia="hu-HU"/>
                      </w:rPr>
                      <m:t>i</m:t>
                    </m:r>
                    <m:r>
                      <m:rPr>
                        <m:sty m:val="p"/>
                      </m:rPr>
                      <w:rPr>
                        <w:rFonts w:ascii="Cambria Math" w:eastAsia="Times New Roman" w:hAnsi="Cambria Math" w:cstheme="minorHAnsi"/>
                        <w:sz w:val="24"/>
                        <w:szCs w:val="24"/>
                        <w:lang w:val="en-US" w:eastAsia="hu-HU"/>
                      </w:rPr>
                      <m:t>)</m:t>
                    </m:r>
                    <m:r>
                      <w:rPr>
                        <w:rFonts w:ascii="Cambria Math" w:eastAsia="Times New Roman" w:hAnsi="Cambria Math" w:cstheme="minorHAnsi"/>
                        <w:sz w:val="24"/>
                        <w:szCs w:val="24"/>
                        <w:lang w:val="en-US" w:eastAsia="hu-HU"/>
                      </w:rPr>
                      <m:t>j</m:t>
                    </m:r>
                  </m:sub>
                </m:sSub>
                <m:r>
                  <m:rPr>
                    <m:sty m:val="p"/>
                  </m:rPr>
                  <w:rPr>
                    <w:rFonts w:ascii="Cambria Math" w:eastAsia="Times New Roman" w:hAnsi="Cambria Math" w:cstheme="minorHAnsi"/>
                    <w:sz w:val="24"/>
                    <w:szCs w:val="24"/>
                    <w:lang w:val="en-US" w:eastAsia="hu-HU"/>
                  </w:rPr>
                  <m:t>-</m:t>
                </m:r>
                <m:sSub>
                  <m:sSubPr>
                    <m:ctrlPr>
                      <w:rPr>
                        <w:rFonts w:ascii="Cambria Math" w:eastAsia="Times New Roman" w:hAnsi="Cambria Math" w:cstheme="minorHAnsi"/>
                        <w:sz w:val="24"/>
                        <w:szCs w:val="24"/>
                        <w:lang w:val="en-US" w:eastAsia="hu-HU"/>
                      </w:rPr>
                    </m:ctrlPr>
                  </m:sSubPr>
                  <m:e>
                    <m:r>
                      <w:rPr>
                        <w:rFonts w:ascii="Cambria Math" w:eastAsia="Times New Roman" w:hAnsi="Cambria Math" w:cstheme="minorHAnsi"/>
                        <w:sz w:val="24"/>
                        <w:szCs w:val="24"/>
                        <w:lang w:val="en-US" w:eastAsia="hu-HU"/>
                      </w:rPr>
                      <m:t>min</m:t>
                    </m:r>
                    <m:r>
                      <m:rPr>
                        <m:sty m:val="p"/>
                      </m:rPr>
                      <w:rPr>
                        <w:rFonts w:ascii="Cambria Math" w:eastAsia="Times New Roman" w:hAnsi="Cambria Math" w:cstheme="minorHAnsi"/>
                        <w:sz w:val="24"/>
                        <w:szCs w:val="24"/>
                        <w:lang w:val="en-US" w:eastAsia="hu-HU"/>
                      </w:rPr>
                      <m:t xml:space="preserve"> </m:t>
                    </m:r>
                    <m:r>
                      <w:rPr>
                        <w:rFonts w:ascii="Cambria Math" w:eastAsia="Times New Roman" w:hAnsi="Cambria Math" w:cstheme="minorHAnsi"/>
                        <w:sz w:val="24"/>
                        <w:szCs w:val="24"/>
                        <w:lang w:val="en-US" w:eastAsia="hu-HU"/>
                      </w:rPr>
                      <m:t>y</m:t>
                    </m:r>
                  </m:e>
                  <m:sub>
                    <m:r>
                      <m:rPr>
                        <m:sty m:val="p"/>
                      </m:rPr>
                      <w:rPr>
                        <w:rFonts w:ascii="Cambria Math" w:eastAsia="Times New Roman" w:hAnsi="Cambria Math" w:cstheme="minorHAnsi"/>
                        <w:sz w:val="24"/>
                        <w:szCs w:val="24"/>
                        <w:lang w:val="en-US" w:eastAsia="hu-HU"/>
                      </w:rPr>
                      <m:t>(</m:t>
                    </m:r>
                    <m:r>
                      <w:rPr>
                        <w:rFonts w:ascii="Cambria Math" w:eastAsia="Times New Roman" w:hAnsi="Cambria Math" w:cstheme="minorHAnsi"/>
                        <w:sz w:val="24"/>
                        <w:szCs w:val="24"/>
                        <w:lang w:val="en-US" w:eastAsia="hu-HU"/>
                      </w:rPr>
                      <m:t>i</m:t>
                    </m:r>
                    <m:r>
                      <m:rPr>
                        <m:sty m:val="p"/>
                      </m:rPr>
                      <w:rPr>
                        <w:rFonts w:ascii="Cambria Math" w:eastAsia="Times New Roman" w:hAnsi="Cambria Math" w:cstheme="minorHAnsi"/>
                        <w:sz w:val="24"/>
                        <w:szCs w:val="24"/>
                        <w:lang w:val="en-US" w:eastAsia="hu-HU"/>
                      </w:rPr>
                      <m:t>),</m:t>
                    </m:r>
                    <m:r>
                      <w:rPr>
                        <w:rFonts w:ascii="Cambria Math" w:eastAsia="Times New Roman" w:hAnsi="Cambria Math" w:cstheme="minorHAnsi"/>
                        <w:sz w:val="24"/>
                        <w:szCs w:val="24"/>
                        <w:lang w:val="en-US" w:eastAsia="hu-HU"/>
                      </w:rPr>
                      <m:t>j</m:t>
                    </m:r>
                  </m:sub>
                </m:sSub>
              </m:e>
            </m:d>
          </m:sup>
        </m:sSup>
        <m:r>
          <m:rPr>
            <m:sty m:val="p"/>
          </m:rPr>
          <w:rPr>
            <w:rFonts w:ascii="Cambria Math" w:eastAsia="Times New Roman" w:hAnsi="Cambria Math" w:cstheme="minorHAnsi"/>
            <w:sz w:val="24"/>
            <w:szCs w:val="24"/>
            <w:lang w:val="en-US" w:eastAsia="hu-HU"/>
          </w:rPr>
          <m:t>)</m:t>
        </m:r>
      </m:oMath>
      <w:r w:rsidRPr="0078485C">
        <w:rPr>
          <w:rFonts w:eastAsia="Times New Roman" w:cstheme="minorHAnsi"/>
          <w:sz w:val="24"/>
          <w:szCs w:val="24"/>
          <w:lang w:val="en-US" w:eastAsia="hu-HU"/>
        </w:rPr>
        <w:t xml:space="preserve"> </w:t>
      </w:r>
      <w:r w:rsidRPr="0078485C">
        <w:rPr>
          <w:rFonts w:eastAsia="Times New Roman" w:cstheme="minorHAnsi"/>
          <w:sz w:val="24"/>
          <w:szCs w:val="24"/>
          <w:lang w:val="en-US" w:eastAsia="hu-HU"/>
        </w:rPr>
        <w:tab/>
      </w:r>
      <w:r w:rsidRPr="0078485C">
        <w:rPr>
          <w:rFonts w:eastAsia="Times New Roman" w:cstheme="minorHAnsi"/>
          <w:sz w:val="24"/>
          <w:szCs w:val="24"/>
          <w:lang w:val="en-US" w:eastAsia="hu-HU"/>
        </w:rPr>
        <w:tab/>
      </w:r>
      <w:r w:rsidRPr="0078485C">
        <w:rPr>
          <w:rFonts w:eastAsia="Times New Roman" w:cstheme="minorHAnsi"/>
          <w:sz w:val="24"/>
          <w:szCs w:val="24"/>
          <w:lang w:val="en-US" w:eastAsia="hu-HU"/>
        </w:rPr>
        <w:tab/>
      </w:r>
      <w:r w:rsidRPr="0078485C">
        <w:rPr>
          <w:rFonts w:eastAsia="Times New Roman" w:cstheme="minorHAnsi"/>
          <w:sz w:val="24"/>
          <w:szCs w:val="24"/>
          <w:lang w:val="en-US" w:eastAsia="hu-HU"/>
        </w:rPr>
        <w:tab/>
      </w:r>
      <w:r w:rsidRPr="0078485C">
        <w:rPr>
          <w:rFonts w:eastAsia="Times New Roman" w:cstheme="minorHAnsi"/>
          <w:sz w:val="24"/>
          <w:szCs w:val="24"/>
          <w:lang w:val="en-US" w:eastAsia="hu-HU"/>
        </w:rPr>
        <w:tab/>
        <w:t>(7)</w:t>
      </w:r>
    </w:p>
    <w:p w:rsidR="00FB0884" w:rsidRPr="0078485C" w:rsidRDefault="00FB0884" w:rsidP="00FB0884">
      <w:pPr>
        <w:spacing w:line="240" w:lineRule="auto"/>
        <w:ind w:left="1134" w:hanging="567"/>
        <w:rPr>
          <w:rFonts w:eastAsia="Times New Roman" w:cstheme="minorHAnsi"/>
          <w:lang w:val="en-US" w:eastAsia="hu-HU"/>
        </w:rPr>
      </w:pPr>
      <w:proofErr w:type="gramStart"/>
      <w:r w:rsidRPr="0078485C">
        <w:rPr>
          <w:rFonts w:eastAsia="Times New Roman" w:cstheme="minorHAnsi"/>
          <w:lang w:val="en-US" w:eastAsia="hu-HU"/>
        </w:rPr>
        <w:t>where</w:t>
      </w:r>
      <w:proofErr w:type="gramEnd"/>
      <w:r w:rsidRPr="0078485C">
        <w:rPr>
          <w:rFonts w:eastAsia="Times New Roman" w:cstheme="minorHAnsi"/>
          <w:lang w:val="en-US" w:eastAsia="hu-HU"/>
        </w:rPr>
        <w:t xml:space="preserve"> </w:t>
      </w:r>
      <m:oMath>
        <m:sSub>
          <m:sSubPr>
            <m:ctrlPr>
              <w:rPr>
                <w:rFonts w:ascii="Cambria Math" w:eastAsia="Times New Roman" w:hAnsi="Cambria Math" w:cstheme="minorHAnsi"/>
                <w:lang w:val="en-US" w:eastAsia="hu-HU"/>
              </w:rPr>
            </m:ctrlPr>
          </m:sSubPr>
          <m:e>
            <m:r>
              <w:rPr>
                <w:rFonts w:ascii="Cambria Math" w:eastAsia="Times New Roman" w:hAnsi="Cambria Math" w:cstheme="minorHAnsi"/>
                <w:lang w:val="en-US" w:eastAsia="hu-HU"/>
              </w:rPr>
              <m:t>h</m:t>
            </m:r>
          </m:e>
          <m:sub>
            <m:r>
              <w:rPr>
                <w:rFonts w:ascii="Cambria Math" w:eastAsia="Times New Roman" w:hAnsi="Cambria Math" w:cstheme="minorHAnsi"/>
                <w:lang w:val="en-US" w:eastAsia="hu-HU"/>
              </w:rPr>
              <m:t>i</m:t>
            </m:r>
            <m:r>
              <m:rPr>
                <m:sty m:val="p"/>
              </m:rPr>
              <w:rPr>
                <w:rFonts w:ascii="Cambria Math" w:eastAsia="Times New Roman" w:hAnsi="Cambria Math" w:cstheme="minorHAnsi"/>
                <w:lang w:val="en-US" w:eastAsia="hu-HU"/>
              </w:rPr>
              <m:t>,</m:t>
            </m:r>
            <m:r>
              <w:rPr>
                <w:rFonts w:ascii="Cambria Math" w:eastAsia="Times New Roman" w:hAnsi="Cambria Math" w:cstheme="minorHAnsi"/>
                <w:lang w:val="en-US" w:eastAsia="hu-HU"/>
              </w:rPr>
              <m:t>j</m:t>
            </m:r>
          </m:sub>
        </m:sSub>
      </m:oMath>
      <w:r w:rsidRPr="0078485C">
        <w:rPr>
          <w:rFonts w:eastAsia="Times New Roman" w:cstheme="minorHAnsi"/>
          <w:lang w:val="en-US" w:eastAsia="hu-HU"/>
        </w:rPr>
        <w:t xml:space="preserve"> is the modified, post-penalty value of pillar j in country i</w:t>
      </w:r>
    </w:p>
    <w:p w:rsidR="00FB0884" w:rsidRPr="0078485C" w:rsidRDefault="00FB0884" w:rsidP="00FB0884">
      <w:pPr>
        <w:spacing w:line="240" w:lineRule="auto"/>
        <w:ind w:left="1134" w:hanging="567"/>
        <w:rPr>
          <w:rFonts w:eastAsia="Times New Roman" w:cstheme="minorHAnsi"/>
          <w:lang w:val="en-US" w:eastAsia="hu-HU"/>
        </w:rPr>
      </w:pPr>
      <w:r w:rsidRPr="0078485C">
        <w:rPr>
          <w:rFonts w:eastAsia="Times New Roman" w:cstheme="minorHAnsi"/>
          <w:lang w:val="en-US" w:eastAsia="hu-HU"/>
        </w:rPr>
        <w:t xml:space="preserve"> </w:t>
      </w:r>
      <m:oMath>
        <m:sSub>
          <m:sSubPr>
            <m:ctrlPr>
              <w:rPr>
                <w:rFonts w:ascii="Cambria Math" w:eastAsia="Times New Roman" w:hAnsi="Cambria Math" w:cstheme="minorHAnsi"/>
                <w:lang w:val="en-US" w:eastAsia="hu-HU"/>
              </w:rPr>
            </m:ctrlPr>
          </m:sSubPr>
          <m:e>
            <m:r>
              <w:rPr>
                <w:rFonts w:ascii="Cambria Math" w:eastAsia="Times New Roman" w:hAnsi="Cambria Math" w:cstheme="minorHAnsi"/>
                <w:lang w:val="en-US" w:eastAsia="hu-HU"/>
              </w:rPr>
              <m:t>y</m:t>
            </m:r>
          </m:e>
          <m:sub>
            <m:r>
              <w:rPr>
                <w:rFonts w:ascii="Cambria Math" w:eastAsia="Times New Roman" w:hAnsi="Cambria Math" w:cstheme="minorHAnsi"/>
                <w:lang w:val="en-US" w:eastAsia="hu-HU"/>
              </w:rPr>
              <m:t>i</m:t>
            </m:r>
            <m:r>
              <m:rPr>
                <m:sty m:val="p"/>
              </m:rPr>
              <w:rPr>
                <w:rFonts w:ascii="Cambria Math" w:eastAsia="Times New Roman" w:hAnsi="Cambria Math" w:cstheme="minorHAnsi"/>
                <w:lang w:val="en-US" w:eastAsia="hu-HU"/>
              </w:rPr>
              <m:t>,</m:t>
            </m:r>
            <m:r>
              <w:rPr>
                <w:rFonts w:ascii="Cambria Math" w:eastAsia="Times New Roman" w:hAnsi="Cambria Math" w:cstheme="minorHAnsi"/>
                <w:lang w:val="en-US" w:eastAsia="hu-HU"/>
              </w:rPr>
              <m:t>j</m:t>
            </m:r>
          </m:sub>
        </m:sSub>
      </m:oMath>
      <w:r w:rsidRPr="0078485C">
        <w:rPr>
          <w:rFonts w:eastAsia="Times New Roman" w:cstheme="minorHAnsi"/>
          <w:lang w:val="en-US" w:eastAsia="hu-HU"/>
        </w:rPr>
        <w:t xml:space="preserve"> </w:t>
      </w:r>
      <w:proofErr w:type="gramStart"/>
      <w:r w:rsidRPr="0078485C">
        <w:rPr>
          <w:rFonts w:eastAsia="Times New Roman" w:cstheme="minorHAnsi"/>
          <w:lang w:val="en-US" w:eastAsia="hu-HU"/>
        </w:rPr>
        <w:t>is</w:t>
      </w:r>
      <w:proofErr w:type="gramEnd"/>
      <w:r w:rsidRPr="0078485C">
        <w:rPr>
          <w:rFonts w:eastAsia="Times New Roman" w:cstheme="minorHAnsi"/>
          <w:lang w:val="en-US" w:eastAsia="hu-HU"/>
        </w:rPr>
        <w:t xml:space="preserve"> the normalized value of index component j in country i </w:t>
      </w:r>
    </w:p>
    <w:p w:rsidR="00FB0884" w:rsidRPr="0078485C" w:rsidRDefault="00FB0884" w:rsidP="00FB0884">
      <w:pPr>
        <w:spacing w:line="240" w:lineRule="auto"/>
        <w:ind w:left="1134" w:hanging="567"/>
        <w:rPr>
          <w:rFonts w:eastAsia="Times New Roman" w:cstheme="minorHAnsi"/>
          <w:lang w:val="en-US" w:eastAsia="hu-HU"/>
        </w:rPr>
      </w:pPr>
      <w:r w:rsidRPr="0078485C">
        <w:rPr>
          <w:rFonts w:eastAsia="Times New Roman" w:cstheme="minorHAnsi"/>
          <w:lang w:val="en-US" w:eastAsia="hu-HU"/>
        </w:rPr>
        <w:t xml:space="preserve"> </w:t>
      </w:r>
      <m:oMath>
        <m:sSub>
          <m:sSubPr>
            <m:ctrlPr>
              <w:rPr>
                <w:rFonts w:ascii="Cambria Math" w:eastAsia="Times New Roman" w:hAnsi="Cambria Math" w:cstheme="minorHAnsi"/>
                <w:lang w:val="en-US" w:eastAsia="hu-HU"/>
              </w:rPr>
            </m:ctrlPr>
          </m:sSubPr>
          <m:e>
            <m:r>
              <w:rPr>
                <w:rFonts w:ascii="Cambria Math" w:eastAsia="Times New Roman" w:hAnsi="Cambria Math" w:cstheme="minorHAnsi"/>
                <w:lang w:val="en-US" w:eastAsia="hu-HU"/>
              </w:rPr>
              <m:t>y</m:t>
            </m:r>
          </m:e>
          <m:sub>
            <m:r>
              <w:rPr>
                <w:rFonts w:ascii="Cambria Math" w:eastAsia="Times New Roman" w:hAnsi="Cambria Math" w:cstheme="minorHAnsi"/>
                <w:lang w:val="en-US" w:eastAsia="hu-HU"/>
              </w:rPr>
              <m:t>min</m:t>
            </m:r>
          </m:sub>
        </m:sSub>
      </m:oMath>
      <w:r w:rsidRPr="0078485C">
        <w:rPr>
          <w:rFonts w:eastAsia="Times New Roman" w:cstheme="minorHAnsi"/>
          <w:lang w:val="en-US" w:eastAsia="hu-HU"/>
        </w:rPr>
        <w:t xml:space="preserve"> </w:t>
      </w:r>
      <w:proofErr w:type="gramStart"/>
      <w:r w:rsidRPr="0078485C">
        <w:rPr>
          <w:rFonts w:eastAsia="Times New Roman" w:cstheme="minorHAnsi"/>
          <w:lang w:val="en-US" w:eastAsia="hu-HU"/>
        </w:rPr>
        <w:t>is</w:t>
      </w:r>
      <w:proofErr w:type="gramEnd"/>
      <w:r w:rsidRPr="0078485C">
        <w:rPr>
          <w:rFonts w:eastAsia="Times New Roman" w:cstheme="minorHAnsi"/>
          <w:lang w:val="en-US" w:eastAsia="hu-HU"/>
        </w:rPr>
        <w:t xml:space="preserve"> the lowest value of </w:t>
      </w:r>
      <m:oMath>
        <m:sSub>
          <m:sSubPr>
            <m:ctrlPr>
              <w:rPr>
                <w:rFonts w:ascii="Cambria Math" w:eastAsia="Times New Roman" w:hAnsi="Cambria Math" w:cstheme="minorHAnsi"/>
                <w:lang w:val="en-US" w:eastAsia="hu-HU"/>
              </w:rPr>
            </m:ctrlPr>
          </m:sSubPr>
          <m:e>
            <m:r>
              <w:rPr>
                <w:rFonts w:ascii="Cambria Math" w:eastAsia="Times New Roman" w:hAnsi="Cambria Math" w:cstheme="minorHAnsi"/>
                <w:lang w:val="en-US" w:eastAsia="hu-HU"/>
              </w:rPr>
              <m:t>y</m:t>
            </m:r>
          </m:e>
          <m:sub>
            <m:r>
              <w:rPr>
                <w:rFonts w:ascii="Cambria Math" w:eastAsia="Times New Roman" w:hAnsi="Cambria Math" w:cstheme="minorHAnsi"/>
                <w:lang w:val="en-US" w:eastAsia="hu-HU"/>
              </w:rPr>
              <m:t>i</m:t>
            </m:r>
            <m:r>
              <m:rPr>
                <m:sty m:val="p"/>
              </m:rPr>
              <w:rPr>
                <w:rFonts w:ascii="Cambria Math" w:eastAsia="Times New Roman" w:hAnsi="Cambria Math" w:cstheme="minorHAnsi"/>
                <w:lang w:val="en-US" w:eastAsia="hu-HU"/>
              </w:rPr>
              <m:t>,</m:t>
            </m:r>
            <m:r>
              <w:rPr>
                <w:rFonts w:ascii="Cambria Math" w:eastAsia="Times New Roman" w:hAnsi="Cambria Math" w:cstheme="minorHAnsi"/>
                <w:lang w:val="en-US" w:eastAsia="hu-HU"/>
              </w:rPr>
              <m:t>j</m:t>
            </m:r>
          </m:sub>
        </m:sSub>
      </m:oMath>
      <w:r w:rsidRPr="0078485C">
        <w:rPr>
          <w:rFonts w:eastAsia="Times New Roman" w:cstheme="minorHAnsi"/>
          <w:lang w:val="en-US" w:eastAsia="hu-HU"/>
        </w:rPr>
        <w:t xml:space="preserve"> for country i</w:t>
      </w:r>
    </w:p>
    <w:p w:rsidR="00FB0884" w:rsidRPr="0078485C" w:rsidRDefault="00FB0884" w:rsidP="00FB0884">
      <w:pPr>
        <w:spacing w:line="240" w:lineRule="auto"/>
        <w:ind w:left="1134" w:hanging="567"/>
        <w:rPr>
          <w:rFonts w:eastAsia="Times New Roman" w:cstheme="minorHAnsi"/>
          <w:lang w:val="en-US" w:eastAsia="hu-HU"/>
        </w:rPr>
      </w:pPr>
      <w:proofErr w:type="spellStart"/>
      <w:r w:rsidRPr="0078485C">
        <w:rPr>
          <w:rFonts w:eastAsia="Times New Roman" w:cstheme="minorHAnsi"/>
          <w:lang w:val="en-US" w:eastAsia="hu-HU"/>
        </w:rPr>
        <w:t>i</w:t>
      </w:r>
      <w:proofErr w:type="spellEnd"/>
      <w:r w:rsidRPr="0078485C">
        <w:rPr>
          <w:rFonts w:eastAsia="Times New Roman" w:cstheme="minorHAnsi"/>
          <w:lang w:val="en-US" w:eastAsia="hu-HU"/>
        </w:rPr>
        <w:t xml:space="preserve"> = 1, </w:t>
      </w:r>
      <w:proofErr w:type="gramStart"/>
      <w:r w:rsidRPr="0078485C">
        <w:rPr>
          <w:rFonts w:eastAsia="Times New Roman" w:cstheme="minorHAnsi"/>
          <w:lang w:val="en-US" w:eastAsia="hu-HU"/>
        </w:rPr>
        <w:t>2,……n</w:t>
      </w:r>
      <w:proofErr w:type="gramEnd"/>
      <w:r w:rsidRPr="0078485C">
        <w:rPr>
          <w:rFonts w:eastAsia="Times New Roman" w:cstheme="minorHAnsi"/>
          <w:lang w:val="en-US" w:eastAsia="hu-HU"/>
        </w:rPr>
        <w:t xml:space="preserve"> = the number of countries</w:t>
      </w:r>
    </w:p>
    <w:p w:rsidR="00FB0884" w:rsidRPr="0078485C" w:rsidRDefault="00FB0884" w:rsidP="00FB0884">
      <w:pPr>
        <w:spacing w:line="240" w:lineRule="auto"/>
        <w:ind w:left="1134" w:hanging="567"/>
        <w:rPr>
          <w:rFonts w:eastAsia="Times New Roman" w:cstheme="minorHAnsi"/>
          <w:lang w:val="en-US" w:eastAsia="hu-HU"/>
        </w:rPr>
      </w:pPr>
      <w:r w:rsidRPr="0078485C">
        <w:rPr>
          <w:rFonts w:eastAsia="Times New Roman" w:cstheme="minorHAnsi"/>
          <w:lang w:val="en-US" w:eastAsia="hu-HU"/>
        </w:rPr>
        <w:t>j</w:t>
      </w:r>
      <w:r>
        <w:rPr>
          <w:rFonts w:eastAsia="Times New Roman" w:cstheme="minorHAnsi"/>
          <w:lang w:val="en-US" w:eastAsia="hu-HU"/>
        </w:rPr>
        <w:t xml:space="preserve"> </w:t>
      </w:r>
      <w:r w:rsidRPr="0078485C">
        <w:rPr>
          <w:rFonts w:eastAsia="Times New Roman" w:cstheme="minorHAnsi"/>
          <w:lang w:val="en-US" w:eastAsia="hu-HU"/>
        </w:rPr>
        <w:t xml:space="preserve">= 1, </w:t>
      </w:r>
      <w:proofErr w:type="gramStart"/>
      <w:r w:rsidRPr="0078485C">
        <w:rPr>
          <w:rFonts w:eastAsia="Times New Roman" w:cstheme="minorHAnsi"/>
          <w:lang w:val="en-US" w:eastAsia="hu-HU"/>
        </w:rPr>
        <w:t>2,.……m</w:t>
      </w:r>
      <w:proofErr w:type="gramEnd"/>
      <w:r>
        <w:rPr>
          <w:rFonts w:eastAsia="Times New Roman" w:cstheme="minorHAnsi"/>
          <w:lang w:val="en-US" w:eastAsia="hu-HU"/>
        </w:rPr>
        <w:t xml:space="preserve"> </w:t>
      </w:r>
      <w:r w:rsidRPr="0078485C">
        <w:rPr>
          <w:rFonts w:eastAsia="Times New Roman" w:cstheme="minorHAnsi"/>
          <w:lang w:val="en-US" w:eastAsia="hu-HU"/>
        </w:rPr>
        <w:t>= the number of pillars</w:t>
      </w:r>
    </w:p>
    <w:p w:rsidR="00FB0884" w:rsidRPr="0078485C" w:rsidRDefault="00FB0884" w:rsidP="00FB0884">
      <w:pPr>
        <w:spacing w:line="240" w:lineRule="auto"/>
        <w:ind w:left="1134" w:hanging="567"/>
        <w:rPr>
          <w:rFonts w:eastAsia="Times New Roman" w:cstheme="minorHAnsi"/>
          <w:lang w:val="en-US" w:eastAsia="hu-HU"/>
        </w:rPr>
      </w:pPr>
      <w:r w:rsidRPr="0078485C">
        <w:rPr>
          <w:rFonts w:eastAsia="Times New Roman" w:cstheme="minorHAnsi"/>
          <w:lang w:val="en-US" w:eastAsia="hu-HU"/>
        </w:rPr>
        <w:t>0 ≤a, b ≤ 1 are the penalty parameters, the basic setup is a</w:t>
      </w:r>
      <w:r>
        <w:rPr>
          <w:rFonts w:eastAsia="Times New Roman" w:cstheme="minorHAnsi"/>
          <w:lang w:val="en-US" w:eastAsia="hu-HU"/>
        </w:rPr>
        <w:t xml:space="preserve"> </w:t>
      </w:r>
      <w:r w:rsidRPr="0078485C">
        <w:rPr>
          <w:rFonts w:eastAsia="Times New Roman" w:cstheme="minorHAnsi"/>
          <w:lang w:val="en-US" w:eastAsia="hu-HU"/>
        </w:rPr>
        <w:t>=</w:t>
      </w:r>
      <w:r>
        <w:rPr>
          <w:rFonts w:eastAsia="Times New Roman" w:cstheme="minorHAnsi"/>
          <w:lang w:val="en-US" w:eastAsia="hu-HU"/>
        </w:rPr>
        <w:t xml:space="preserve"> </w:t>
      </w:r>
      <w:r w:rsidRPr="0078485C">
        <w:rPr>
          <w:rFonts w:eastAsia="Times New Roman" w:cstheme="minorHAnsi"/>
          <w:lang w:val="en-US" w:eastAsia="hu-HU"/>
        </w:rPr>
        <w:t>b</w:t>
      </w:r>
      <w:r>
        <w:rPr>
          <w:rFonts w:eastAsia="Times New Roman" w:cstheme="minorHAnsi"/>
          <w:lang w:val="en-US" w:eastAsia="hu-HU"/>
        </w:rPr>
        <w:t xml:space="preserve"> </w:t>
      </w:r>
      <w:r w:rsidRPr="0078485C">
        <w:rPr>
          <w:rFonts w:eastAsia="Times New Roman" w:cstheme="minorHAnsi"/>
          <w:lang w:val="en-US" w:eastAsia="hu-HU"/>
        </w:rPr>
        <w:t>=</w:t>
      </w:r>
      <w:r>
        <w:rPr>
          <w:rFonts w:eastAsia="Times New Roman" w:cstheme="minorHAnsi"/>
          <w:lang w:val="en-US" w:eastAsia="hu-HU"/>
        </w:rPr>
        <w:t xml:space="preserve"> </w:t>
      </w:r>
      <w:r w:rsidRPr="0078485C">
        <w:rPr>
          <w:rFonts w:eastAsia="Times New Roman" w:cstheme="minorHAnsi"/>
          <w:lang w:val="en-US" w:eastAsia="hu-HU"/>
        </w:rPr>
        <w:t>1</w:t>
      </w:r>
    </w:p>
    <w:p w:rsidR="00FB0884" w:rsidRDefault="00FB0884" w:rsidP="00FB0884">
      <w:pPr>
        <w:spacing w:line="240" w:lineRule="auto"/>
        <w:ind w:left="567"/>
        <w:rPr>
          <w:rFonts w:eastAsia="Times New Roman" w:cstheme="minorHAnsi"/>
          <w:sz w:val="24"/>
          <w:szCs w:val="24"/>
          <w:lang w:val="en-US" w:eastAsia="hu-HU"/>
        </w:rPr>
      </w:pPr>
      <w:r w:rsidRPr="0078485C">
        <w:rPr>
          <w:rFonts w:eastAsia="Times New Roman" w:cstheme="minorHAnsi"/>
          <w:sz w:val="24"/>
          <w:szCs w:val="24"/>
          <w:lang w:val="en-US" w:eastAsia="hu-HU"/>
        </w:rPr>
        <w:t>The penalty function also reflects</w:t>
      </w:r>
      <w:r>
        <w:rPr>
          <w:rFonts w:eastAsia="Times New Roman" w:cstheme="minorHAnsi"/>
          <w:sz w:val="24"/>
          <w:szCs w:val="24"/>
          <w:lang w:val="en-US" w:eastAsia="hu-HU"/>
        </w:rPr>
        <w:t xml:space="preserve"> </w:t>
      </w:r>
      <w:r w:rsidRPr="0078485C">
        <w:rPr>
          <w:rFonts w:eastAsia="Times New Roman" w:cstheme="minorHAnsi"/>
          <w:sz w:val="24"/>
          <w:szCs w:val="24"/>
          <w:lang w:val="en-US" w:eastAsia="hu-HU"/>
        </w:rPr>
        <w:t xml:space="preserve">compensation </w:t>
      </w:r>
      <w:r w:rsidRPr="00B07B8A">
        <w:rPr>
          <w:rFonts w:eastAsia="Times New Roman" w:cstheme="minorHAnsi"/>
          <w:sz w:val="24"/>
          <w:szCs w:val="24"/>
          <w:lang w:val="en-US" w:eastAsia="hu-HU"/>
        </w:rPr>
        <w:t>for the loss of one pillar with a gain in another pillar.</w:t>
      </w:r>
      <w:r w:rsidRPr="0078485C">
        <w:rPr>
          <w:rFonts w:eastAsia="Times New Roman" w:cstheme="minorHAnsi"/>
          <w:sz w:val="24"/>
          <w:szCs w:val="24"/>
          <w:lang w:val="en-US" w:eastAsia="hu-HU"/>
        </w:rPr>
        <w:t xml:space="preserve"> Let us define the Marginal Rate of Compensation</w:t>
      </w:r>
      <w:r>
        <w:rPr>
          <w:rFonts w:eastAsia="Times New Roman" w:cstheme="minorHAnsi"/>
          <w:sz w:val="24"/>
          <w:szCs w:val="24"/>
          <w:lang w:val="en-US" w:eastAsia="hu-HU"/>
        </w:rPr>
        <w:t xml:space="preserve"> (MRC) </w:t>
      </w:r>
      <w:r w:rsidRPr="0078485C">
        <w:rPr>
          <w:rFonts w:eastAsia="Times New Roman" w:cstheme="minorHAnsi"/>
          <w:sz w:val="24"/>
          <w:szCs w:val="24"/>
          <w:lang w:val="en-US" w:eastAsia="hu-HU"/>
        </w:rPr>
        <w:t>as follows:</w:t>
      </w:r>
    </w:p>
    <w:p w:rsidR="00FB0884" w:rsidRPr="0078485C" w:rsidRDefault="00FB0884" w:rsidP="00FB0884">
      <w:pPr>
        <w:spacing w:line="240" w:lineRule="auto"/>
        <w:ind w:left="567"/>
        <w:rPr>
          <w:rFonts w:eastAsia="Times New Roman" w:cstheme="minorHAnsi"/>
          <w:sz w:val="24"/>
          <w:szCs w:val="24"/>
          <w:lang w:val="en-US" w:eastAsia="hu-HU"/>
        </w:rPr>
      </w:pPr>
    </w:p>
    <w:p w:rsidR="00FB0884" w:rsidRPr="0078485C" w:rsidRDefault="00FB0884" w:rsidP="00FB0884">
      <w:pPr>
        <w:spacing w:line="240" w:lineRule="auto"/>
        <w:jc w:val="center"/>
        <w:rPr>
          <w:rFonts w:eastAsia="Times New Roman" w:cstheme="minorHAnsi"/>
          <w:sz w:val="24"/>
          <w:szCs w:val="24"/>
          <w:lang w:val="en-US" w:eastAsia="hu-HU"/>
        </w:rPr>
      </w:pPr>
      <m:oMath>
        <m:sSub>
          <m:sSubPr>
            <m:ctrlPr>
              <w:rPr>
                <w:rFonts w:ascii="Cambria Math" w:eastAsia="Times New Roman" w:hAnsi="Cambria Math" w:cstheme="minorHAnsi"/>
                <w:sz w:val="24"/>
                <w:szCs w:val="24"/>
                <w:lang w:val="en-US" w:eastAsia="hu-HU"/>
              </w:rPr>
            </m:ctrlPr>
          </m:sSubPr>
          <m:e>
            <m:r>
              <w:rPr>
                <w:rFonts w:ascii="Cambria Math" w:eastAsia="Times New Roman" w:hAnsi="Cambria Math" w:cstheme="minorHAnsi"/>
                <w:sz w:val="24"/>
                <w:szCs w:val="24"/>
                <w:lang w:val="en-US" w:eastAsia="hu-HU"/>
              </w:rPr>
              <m:t>MRC</m:t>
            </m:r>
          </m:e>
          <m:sub>
            <m:r>
              <w:rPr>
                <w:rFonts w:ascii="Cambria Math" w:eastAsia="Times New Roman" w:hAnsi="Cambria Math" w:cstheme="minorHAnsi"/>
                <w:sz w:val="24"/>
                <w:szCs w:val="24"/>
                <w:lang w:val="en-US" w:eastAsia="hu-HU"/>
              </w:rPr>
              <m:t>i</m:t>
            </m:r>
            <m:r>
              <m:rPr>
                <m:sty m:val="p"/>
              </m:rPr>
              <w:rPr>
                <w:rFonts w:ascii="Cambria Math" w:eastAsia="Times New Roman" w:hAnsi="Cambria Math" w:cstheme="minorHAnsi"/>
                <w:sz w:val="24"/>
                <w:szCs w:val="24"/>
                <w:lang w:val="en-US" w:eastAsia="hu-HU"/>
              </w:rPr>
              <m:t>,</m:t>
            </m:r>
            <m:r>
              <w:rPr>
                <w:rFonts w:ascii="Cambria Math" w:eastAsia="Times New Roman" w:hAnsi="Cambria Math" w:cstheme="minorHAnsi"/>
                <w:sz w:val="24"/>
                <w:szCs w:val="24"/>
                <w:lang w:val="en-US" w:eastAsia="hu-HU"/>
              </w:rPr>
              <m:t>j</m:t>
            </m:r>
          </m:sub>
        </m:sSub>
        <m:r>
          <m:rPr>
            <m:sty m:val="p"/>
          </m:rPr>
          <w:rPr>
            <w:rFonts w:ascii="Cambria Math" w:eastAsia="Times New Roman" w:hAnsi="Cambria Math" w:cstheme="minorHAnsi"/>
            <w:sz w:val="24"/>
            <w:szCs w:val="24"/>
            <w:lang w:val="en-US" w:eastAsia="hu-HU"/>
          </w:rPr>
          <m:t>=</m:t>
        </m:r>
        <m:f>
          <m:fPr>
            <m:ctrlPr>
              <w:rPr>
                <w:rFonts w:ascii="Cambria Math" w:eastAsia="Times New Roman" w:hAnsi="Cambria Math" w:cstheme="minorHAnsi"/>
                <w:sz w:val="24"/>
                <w:szCs w:val="24"/>
                <w:lang w:val="en-US" w:eastAsia="hu-HU"/>
              </w:rPr>
            </m:ctrlPr>
          </m:fPr>
          <m:num>
            <m:sSub>
              <m:sSubPr>
                <m:ctrlPr>
                  <w:rPr>
                    <w:rFonts w:ascii="Cambria Math" w:eastAsia="Times New Roman" w:hAnsi="Cambria Math" w:cstheme="minorHAnsi"/>
                    <w:sz w:val="24"/>
                    <w:szCs w:val="24"/>
                    <w:lang w:val="en-US" w:eastAsia="hu-HU"/>
                  </w:rPr>
                </m:ctrlPr>
              </m:sSubPr>
              <m:e>
                <m:r>
                  <w:rPr>
                    <w:rFonts w:ascii="Cambria Math" w:eastAsia="Times New Roman" w:hAnsi="Cambria Math" w:cstheme="minorHAnsi"/>
                    <w:sz w:val="24"/>
                    <w:szCs w:val="24"/>
                    <w:lang w:val="en-US" w:eastAsia="hu-HU"/>
                  </w:rPr>
                  <m:t>dy</m:t>
                </m:r>
              </m:e>
              <m:sub>
                <m:r>
                  <w:rPr>
                    <w:rFonts w:ascii="Cambria Math" w:eastAsia="Times New Roman" w:hAnsi="Cambria Math" w:cstheme="minorHAnsi"/>
                    <w:sz w:val="24"/>
                    <w:szCs w:val="24"/>
                    <w:lang w:val="en-US" w:eastAsia="hu-HU"/>
                  </w:rPr>
                  <m:t>i</m:t>
                </m:r>
              </m:sub>
            </m:sSub>
          </m:num>
          <m:den>
            <m:sSub>
              <m:sSubPr>
                <m:ctrlPr>
                  <w:rPr>
                    <w:rFonts w:ascii="Cambria Math" w:eastAsia="Times New Roman" w:hAnsi="Cambria Math" w:cstheme="minorHAnsi"/>
                    <w:sz w:val="24"/>
                    <w:szCs w:val="24"/>
                    <w:lang w:val="en-US" w:eastAsia="hu-HU"/>
                  </w:rPr>
                </m:ctrlPr>
              </m:sSubPr>
              <m:e>
                <m:r>
                  <w:rPr>
                    <w:rFonts w:ascii="Cambria Math" w:eastAsia="Times New Roman" w:hAnsi="Cambria Math" w:cstheme="minorHAnsi"/>
                    <w:sz w:val="24"/>
                    <w:szCs w:val="24"/>
                    <w:lang w:val="en-US" w:eastAsia="hu-HU"/>
                  </w:rPr>
                  <m:t>dy</m:t>
                </m:r>
              </m:e>
              <m:sub>
                <m:r>
                  <w:rPr>
                    <w:rFonts w:ascii="Cambria Math" w:eastAsia="Times New Roman" w:hAnsi="Cambria Math" w:cstheme="minorHAnsi"/>
                    <w:sz w:val="24"/>
                    <w:szCs w:val="24"/>
                    <w:lang w:val="en-US" w:eastAsia="hu-HU"/>
                  </w:rPr>
                  <m:t>j</m:t>
                </m:r>
              </m:sub>
            </m:sSub>
          </m:den>
        </m:f>
      </m:oMath>
      <w:r w:rsidRPr="0078485C">
        <w:rPr>
          <w:rFonts w:eastAsia="Times New Roman" w:cstheme="minorHAnsi"/>
          <w:sz w:val="24"/>
          <w:szCs w:val="24"/>
          <w:lang w:val="en-US" w:eastAsia="hu-HU"/>
        </w:rPr>
        <w:tab/>
      </w:r>
      <w:r w:rsidRPr="0078485C">
        <w:rPr>
          <w:rFonts w:eastAsia="Times New Roman" w:cstheme="minorHAnsi"/>
          <w:sz w:val="24"/>
          <w:szCs w:val="24"/>
          <w:lang w:val="en-US" w:eastAsia="hu-HU"/>
        </w:rPr>
        <w:tab/>
      </w:r>
      <w:r w:rsidRPr="0078485C">
        <w:rPr>
          <w:rFonts w:eastAsia="Times New Roman" w:cstheme="minorHAnsi"/>
          <w:sz w:val="24"/>
          <w:szCs w:val="24"/>
          <w:lang w:val="en-US" w:eastAsia="hu-HU"/>
        </w:rPr>
        <w:tab/>
        <w:t>(8)</w:t>
      </w:r>
    </w:p>
    <w:p w:rsidR="00FB0884" w:rsidRPr="004F6F9F" w:rsidRDefault="00FB0884" w:rsidP="00FB0884">
      <w:pPr>
        <w:spacing w:line="240" w:lineRule="auto"/>
        <w:ind w:left="567"/>
        <w:contextualSpacing/>
        <w:rPr>
          <w:rFonts w:eastAsia="Times New Roman" w:cstheme="minorHAnsi"/>
          <w:sz w:val="24"/>
          <w:szCs w:val="24"/>
          <w:lang w:val="en-US" w:eastAsia="hu-HU"/>
        </w:rPr>
      </w:pPr>
      <w:r w:rsidRPr="004F6F9F">
        <w:rPr>
          <w:rFonts w:eastAsia="Times New Roman" w:cstheme="minorHAnsi"/>
          <w:sz w:val="24"/>
          <w:szCs w:val="24"/>
          <w:lang w:val="en-US" w:eastAsia="hu-HU"/>
        </w:rPr>
        <w:t>Full compensability means that a loss in one pillar can be compensated</w:t>
      </w:r>
      <w:r>
        <w:rPr>
          <w:rFonts w:eastAsia="Times New Roman" w:cstheme="minorHAnsi"/>
          <w:sz w:val="24"/>
          <w:szCs w:val="24"/>
          <w:lang w:val="en-US" w:eastAsia="hu-HU"/>
        </w:rPr>
        <w:t xml:space="preserve"> for</w:t>
      </w:r>
      <w:r w:rsidRPr="004F6F9F">
        <w:rPr>
          <w:rFonts w:eastAsia="Times New Roman" w:cstheme="minorHAnsi"/>
          <w:sz w:val="24"/>
          <w:szCs w:val="24"/>
          <w:lang w:val="en-US" w:eastAsia="hu-HU"/>
        </w:rPr>
        <w:t xml:space="preserve"> by the same increase in another pillar. However, this is not realistic. The </w:t>
      </w:r>
      <w:r>
        <w:rPr>
          <w:rFonts w:eastAsia="Times New Roman" w:cstheme="minorHAnsi"/>
          <w:sz w:val="24"/>
          <w:szCs w:val="24"/>
          <w:lang w:val="en-US" w:eastAsia="hu-HU"/>
        </w:rPr>
        <w:t>MRC</w:t>
      </w:r>
      <w:r w:rsidRPr="004F6F9F">
        <w:rPr>
          <w:rFonts w:eastAsia="Times New Roman" w:cstheme="minorHAnsi"/>
          <w:sz w:val="24"/>
          <w:szCs w:val="24"/>
          <w:lang w:val="en-US" w:eastAsia="hu-HU"/>
        </w:rPr>
        <w:t xml:space="preserve"> is the same concept as the Marginal Rate of Substitution for goods and</w:t>
      </w:r>
      <w:r>
        <w:rPr>
          <w:rFonts w:eastAsia="Times New Roman" w:cstheme="minorHAnsi"/>
          <w:sz w:val="24"/>
          <w:szCs w:val="24"/>
          <w:lang w:val="en-US" w:eastAsia="hu-HU"/>
        </w:rPr>
        <w:t xml:space="preserve"> </w:t>
      </w:r>
      <w:r w:rsidRPr="004F6F9F">
        <w:rPr>
          <w:rFonts w:eastAsia="Times New Roman" w:cstheme="minorHAnsi"/>
          <w:sz w:val="24"/>
          <w:szCs w:val="24"/>
          <w:lang w:val="en-US" w:eastAsia="hu-HU"/>
        </w:rPr>
        <w:t xml:space="preserve">the Marginal Rate of Technical Substitution </w:t>
      </w:r>
      <w:r>
        <w:rPr>
          <w:rFonts w:eastAsia="Times New Roman" w:cstheme="minorHAnsi"/>
          <w:sz w:val="24"/>
          <w:szCs w:val="24"/>
          <w:lang w:val="en-US" w:eastAsia="hu-HU"/>
        </w:rPr>
        <w:t>for</w:t>
      </w:r>
      <w:r w:rsidRPr="004F6F9F">
        <w:rPr>
          <w:rFonts w:eastAsia="Times New Roman" w:cstheme="minorHAnsi"/>
          <w:sz w:val="24"/>
          <w:szCs w:val="24"/>
          <w:lang w:val="en-US" w:eastAsia="hu-HU"/>
        </w:rPr>
        <w:t xml:space="preserve"> inputs (</w:t>
      </w:r>
      <w:proofErr w:type="spellStart"/>
      <w:r w:rsidRPr="004F6F9F">
        <w:rPr>
          <w:rFonts w:eastAsia="Times New Roman" w:cstheme="minorHAnsi"/>
          <w:sz w:val="24"/>
          <w:szCs w:val="24"/>
          <w:lang w:val="en-US" w:eastAsia="hu-HU"/>
        </w:rPr>
        <w:t>Casadio-Tarabusi</w:t>
      </w:r>
      <w:proofErr w:type="spellEnd"/>
      <w:r w:rsidRPr="004F6F9F">
        <w:rPr>
          <w:rFonts w:eastAsia="Times New Roman" w:cstheme="minorHAnsi"/>
          <w:sz w:val="24"/>
          <w:szCs w:val="24"/>
          <w:lang w:val="en-US" w:eastAsia="hu-HU"/>
        </w:rPr>
        <w:t xml:space="preserve"> and Palazzi 2012), </w:t>
      </w:r>
      <w:r>
        <w:rPr>
          <w:rFonts w:eastAsia="Times New Roman" w:cstheme="minorHAnsi"/>
          <w:sz w:val="24"/>
          <w:szCs w:val="24"/>
          <w:lang w:val="en-US" w:eastAsia="hu-HU"/>
        </w:rPr>
        <w:t>which</w:t>
      </w:r>
      <w:r w:rsidRPr="004F6F9F">
        <w:rPr>
          <w:rFonts w:eastAsia="Times New Roman" w:cstheme="minorHAnsi"/>
          <w:sz w:val="24"/>
          <w:szCs w:val="24"/>
          <w:lang w:val="en-US" w:eastAsia="hu-HU"/>
        </w:rPr>
        <w:t xml:space="preserve"> are </w:t>
      </w:r>
      <w:r w:rsidRPr="00B07B8A">
        <w:rPr>
          <w:rFonts w:eastAsia="Times New Roman" w:cstheme="minorHAnsi"/>
          <w:sz w:val="24"/>
          <w:szCs w:val="24"/>
          <w:lang w:val="en-US" w:eastAsia="hu-HU"/>
        </w:rPr>
        <w:t xml:space="preserve">reflected </w:t>
      </w:r>
      <w:r w:rsidRPr="00382363">
        <w:rPr>
          <w:rFonts w:eastAsia="Times New Roman" w:cstheme="minorHAnsi"/>
          <w:sz w:val="24"/>
          <w:szCs w:val="24"/>
          <w:lang w:val="en-US" w:eastAsia="hu-HU"/>
        </w:rPr>
        <w:t xml:space="preserve">in </w:t>
      </w:r>
      <w:r w:rsidRPr="004F6F9F">
        <w:rPr>
          <w:rFonts w:eastAsia="Times New Roman" w:cstheme="minorHAnsi"/>
          <w:sz w:val="24"/>
          <w:szCs w:val="24"/>
          <w:lang w:val="en-US" w:eastAsia="hu-HU"/>
        </w:rPr>
        <w:t>the law of diminishing return. Therefore, the effect of the change of the penalty is not proportional</w:t>
      </w:r>
      <w:r>
        <w:rPr>
          <w:rFonts w:eastAsia="Times New Roman" w:cstheme="minorHAnsi"/>
          <w:sz w:val="24"/>
          <w:szCs w:val="24"/>
          <w:lang w:val="en-US" w:eastAsia="hu-HU"/>
        </w:rPr>
        <w:t xml:space="preserve">, which </w:t>
      </w:r>
      <w:r w:rsidRPr="004F6F9F">
        <w:rPr>
          <w:rFonts w:eastAsia="Times New Roman" w:cstheme="minorHAnsi"/>
          <w:sz w:val="24"/>
          <w:szCs w:val="24"/>
          <w:lang w:val="en-US" w:eastAsia="hu-HU"/>
        </w:rPr>
        <w:t xml:space="preserve">means that higher compensation is necessary for the loss in one pillar if the difference between another pillar value and the particular pillar is higher </w:t>
      </w:r>
      <w:r>
        <w:rPr>
          <w:rFonts w:eastAsia="Times New Roman" w:cstheme="minorHAnsi"/>
          <w:sz w:val="24"/>
          <w:szCs w:val="24"/>
          <w:lang w:val="en-US" w:eastAsia="hu-HU"/>
        </w:rPr>
        <w:t>than the</w:t>
      </w:r>
      <w:r w:rsidRPr="004F6F9F">
        <w:rPr>
          <w:rFonts w:eastAsia="Times New Roman" w:cstheme="minorHAnsi"/>
          <w:sz w:val="24"/>
          <w:szCs w:val="24"/>
          <w:lang w:val="en-US" w:eastAsia="hu-HU"/>
        </w:rPr>
        <w:t xml:space="preserve"> lower differences between the pillars. The required positive value of the second derivative means that the pillars </w:t>
      </w:r>
      <w:r>
        <w:rPr>
          <w:rFonts w:eastAsia="Times New Roman" w:cstheme="minorHAnsi"/>
          <w:sz w:val="24"/>
          <w:szCs w:val="24"/>
          <w:lang w:val="en-US" w:eastAsia="hu-HU"/>
        </w:rPr>
        <w:t xml:space="preserve">are only partially </w:t>
      </w:r>
      <w:r w:rsidRPr="004F6F9F">
        <w:rPr>
          <w:rFonts w:eastAsia="Times New Roman" w:cstheme="minorHAnsi"/>
          <w:sz w:val="24"/>
          <w:szCs w:val="24"/>
          <w:lang w:val="en-US" w:eastAsia="hu-HU"/>
        </w:rPr>
        <w:t>compensable with each other</w:t>
      </w:r>
      <w:r>
        <w:rPr>
          <w:rFonts w:eastAsia="Times New Roman" w:cstheme="minorHAnsi"/>
          <w:sz w:val="24"/>
          <w:szCs w:val="24"/>
          <w:lang w:val="en-US" w:eastAsia="hu-HU"/>
        </w:rPr>
        <w:t>,</w:t>
      </w:r>
      <w:r w:rsidRPr="004F6F9F">
        <w:rPr>
          <w:rFonts w:eastAsia="Times New Roman" w:cstheme="minorHAnsi"/>
          <w:sz w:val="24"/>
          <w:szCs w:val="24"/>
          <w:lang w:val="en-US" w:eastAsia="hu-HU"/>
        </w:rPr>
        <w:t xml:space="preserve"> meaning that the penalty increases </w:t>
      </w:r>
      <w:r>
        <w:rPr>
          <w:rFonts w:eastAsia="Times New Roman" w:cstheme="minorHAnsi"/>
          <w:sz w:val="24"/>
          <w:szCs w:val="24"/>
          <w:lang w:val="en-US" w:eastAsia="hu-HU"/>
        </w:rPr>
        <w:t>at</w:t>
      </w:r>
      <w:r w:rsidRPr="004F6F9F">
        <w:rPr>
          <w:rFonts w:eastAsia="Times New Roman" w:cstheme="minorHAnsi"/>
          <w:sz w:val="24"/>
          <w:szCs w:val="24"/>
          <w:lang w:val="en-US" w:eastAsia="hu-HU"/>
        </w:rPr>
        <w:t xml:space="preserve"> an increasing rate:</w:t>
      </w:r>
    </w:p>
    <w:p w:rsidR="00FB0884" w:rsidRPr="0078485C" w:rsidRDefault="00FB0884" w:rsidP="00FB0884">
      <w:pPr>
        <w:autoSpaceDE w:val="0"/>
        <w:autoSpaceDN w:val="0"/>
        <w:adjustRightInd w:val="0"/>
        <w:spacing w:line="240" w:lineRule="auto"/>
        <w:rPr>
          <w:rFonts w:cstheme="minorHAnsi"/>
          <w:sz w:val="24"/>
          <w:szCs w:val="24"/>
          <w:lang w:val="en-US"/>
        </w:rPr>
      </w:pPr>
    </w:p>
    <w:p w:rsidR="00FB0884" w:rsidRPr="0078485C" w:rsidRDefault="00FB0884" w:rsidP="00FB0884">
      <w:pPr>
        <w:spacing w:line="360" w:lineRule="auto"/>
        <w:jc w:val="center"/>
        <w:rPr>
          <w:rFonts w:cstheme="minorHAnsi"/>
          <w:sz w:val="24"/>
          <w:szCs w:val="24"/>
          <w:lang w:val="en-US"/>
        </w:rPr>
      </w:pPr>
      <m:oMath>
        <m:f>
          <m:fPr>
            <m:ctrlPr>
              <w:rPr>
                <w:rFonts w:ascii="Cambria Math" w:hAnsi="Cambria Math" w:cstheme="minorHAnsi"/>
                <w:i/>
                <w:sz w:val="24"/>
                <w:szCs w:val="24"/>
                <w:lang w:val="en-US"/>
              </w:rPr>
            </m:ctrlPr>
          </m:fPr>
          <m:num>
            <m:sSub>
              <m:sSubPr>
                <m:ctrlPr>
                  <w:rPr>
                    <w:rFonts w:ascii="Cambria Math" w:hAnsi="Cambria Math" w:cstheme="minorHAnsi"/>
                    <w:i/>
                    <w:sz w:val="24"/>
                    <w:szCs w:val="24"/>
                    <w:lang w:val="en-US"/>
                  </w:rPr>
                </m:ctrlPr>
              </m:sSubPr>
              <m:e>
                <m:r>
                  <w:rPr>
                    <w:rFonts w:ascii="Cambria Math" w:hAnsi="Cambria Math" w:cstheme="minorHAnsi"/>
                    <w:sz w:val="24"/>
                    <w:szCs w:val="24"/>
                    <w:lang w:val="en-US"/>
                  </w:rPr>
                  <m:t>dMRC</m:t>
                </m:r>
              </m:e>
              <m:sub>
                <m:r>
                  <w:rPr>
                    <w:rFonts w:ascii="Cambria Math" w:hAnsi="Cambria Math" w:cstheme="minorHAnsi"/>
                    <w:sz w:val="24"/>
                    <w:szCs w:val="24"/>
                    <w:lang w:val="en-US"/>
                  </w:rPr>
                  <m:t>i,j</m:t>
                </m:r>
              </m:sub>
            </m:sSub>
          </m:num>
          <m:den>
            <m:sSub>
              <m:sSubPr>
                <m:ctrlPr>
                  <w:rPr>
                    <w:rFonts w:ascii="Cambria Math" w:hAnsi="Cambria Math" w:cstheme="minorHAnsi"/>
                    <w:i/>
                    <w:sz w:val="24"/>
                    <w:szCs w:val="24"/>
                    <w:lang w:val="en-US"/>
                  </w:rPr>
                </m:ctrlPr>
              </m:sSubPr>
              <m:e>
                <m:r>
                  <w:rPr>
                    <w:rFonts w:ascii="Cambria Math" w:hAnsi="Cambria Math" w:cstheme="minorHAnsi"/>
                    <w:sz w:val="24"/>
                    <w:szCs w:val="24"/>
                    <w:lang w:val="en-US"/>
                  </w:rPr>
                  <m:t>dy</m:t>
                </m:r>
              </m:e>
              <m:sub>
                <m:r>
                  <w:rPr>
                    <w:rFonts w:ascii="Cambria Math" w:hAnsi="Cambria Math" w:cstheme="minorHAnsi"/>
                    <w:sz w:val="24"/>
                    <w:szCs w:val="24"/>
                    <w:lang w:val="en-US"/>
                  </w:rPr>
                  <m:t>j</m:t>
                </m:r>
              </m:sub>
            </m:sSub>
          </m:den>
        </m:f>
        <m:r>
          <w:rPr>
            <w:rFonts w:ascii="Cambria Math" w:hAnsi="Cambria Math" w:cstheme="minorHAnsi"/>
            <w:sz w:val="24"/>
            <w:szCs w:val="24"/>
            <w:lang w:val="en-US"/>
          </w:rPr>
          <m:t xml:space="preserve"> &gt;0</m:t>
        </m:r>
      </m:oMath>
      <w:r w:rsidRPr="0078485C">
        <w:rPr>
          <w:rFonts w:cstheme="minorHAnsi"/>
          <w:sz w:val="24"/>
          <w:szCs w:val="24"/>
          <w:lang w:val="en-US"/>
        </w:rPr>
        <w:tab/>
      </w:r>
      <w:r w:rsidRPr="0078485C">
        <w:rPr>
          <w:rFonts w:cstheme="minorHAnsi"/>
          <w:sz w:val="24"/>
          <w:szCs w:val="24"/>
          <w:lang w:val="en-US"/>
        </w:rPr>
        <w:tab/>
      </w:r>
      <w:r w:rsidRPr="0078485C">
        <w:rPr>
          <w:rFonts w:cstheme="minorHAnsi"/>
          <w:sz w:val="24"/>
          <w:szCs w:val="24"/>
          <w:lang w:val="en-US"/>
        </w:rPr>
        <w:tab/>
        <w:t>(9)</w:t>
      </w:r>
    </w:p>
    <w:p w:rsidR="00FB0884" w:rsidRPr="0078485C" w:rsidRDefault="00FB0884" w:rsidP="00FB0884">
      <w:pPr>
        <w:spacing w:line="240" w:lineRule="auto"/>
        <w:ind w:left="567"/>
        <w:contextualSpacing/>
        <w:rPr>
          <w:rFonts w:eastAsia="Times New Roman" w:cstheme="minorHAnsi"/>
          <w:sz w:val="24"/>
          <w:szCs w:val="24"/>
          <w:lang w:val="en-US" w:eastAsia="hu-HU"/>
        </w:rPr>
      </w:pPr>
      <w:r w:rsidRPr="0078485C">
        <w:rPr>
          <w:rFonts w:eastAsia="Times New Roman" w:cstheme="minorHAnsi"/>
          <w:sz w:val="24"/>
          <w:szCs w:val="24"/>
          <w:lang w:val="en-US" w:eastAsia="hu-HU"/>
        </w:rPr>
        <w:t>Figure 1</w:t>
      </w:r>
      <w:r>
        <w:rPr>
          <w:rFonts w:eastAsia="Times New Roman" w:cstheme="minorHAnsi"/>
          <w:sz w:val="24"/>
          <w:szCs w:val="24"/>
          <w:lang w:val="en-US" w:eastAsia="hu-HU"/>
        </w:rPr>
        <w:t xml:space="preserve"> </w:t>
      </w:r>
      <w:r w:rsidRPr="0078485C">
        <w:rPr>
          <w:rFonts w:eastAsia="Times New Roman" w:cstheme="minorHAnsi"/>
          <w:sz w:val="24"/>
          <w:szCs w:val="24"/>
          <w:lang w:val="en-US" w:eastAsia="hu-HU"/>
        </w:rPr>
        <w:t>pictur</w:t>
      </w:r>
      <w:r>
        <w:rPr>
          <w:rFonts w:eastAsia="Times New Roman" w:cstheme="minorHAnsi"/>
          <w:sz w:val="24"/>
          <w:szCs w:val="24"/>
          <w:lang w:val="en-US" w:eastAsia="hu-HU"/>
        </w:rPr>
        <w:t>es</w:t>
      </w:r>
      <w:r w:rsidRPr="0078485C">
        <w:rPr>
          <w:rFonts w:eastAsia="Times New Roman" w:cstheme="minorHAnsi"/>
          <w:sz w:val="24"/>
          <w:szCs w:val="24"/>
          <w:lang w:val="en-US" w:eastAsia="hu-HU"/>
        </w:rPr>
        <w:t xml:space="preserve"> the size of the penalty when the minimum pillar value is 0. </w:t>
      </w:r>
    </w:p>
    <w:p w:rsidR="00FB0884" w:rsidRDefault="00FB0884" w:rsidP="00FB0884">
      <w:pPr>
        <w:pStyle w:val="GEDIbooktablefigure"/>
        <w:ind w:left="567"/>
      </w:pPr>
      <w:bookmarkStart w:id="3" w:name="_Toc466817885"/>
      <w:bookmarkStart w:id="4" w:name="_Toc466827409"/>
      <w:bookmarkStart w:id="5" w:name="_Toc466827473"/>
    </w:p>
    <w:p w:rsidR="00FB0884" w:rsidRDefault="00FB0884" w:rsidP="00FB0884">
      <w:pPr>
        <w:pStyle w:val="GEDIbooktablefigure"/>
        <w:ind w:left="567"/>
      </w:pPr>
      <w:r w:rsidRPr="0078485C">
        <w:t>Figure 1: Penalty Function,</w:t>
      </w:r>
      <w:r>
        <w:t xml:space="preserve"> </w:t>
      </w:r>
      <w:r w:rsidRPr="0078485C">
        <w:t>Penalized Values</w:t>
      </w:r>
      <w:r>
        <w:t>,</w:t>
      </w:r>
      <w:r w:rsidRPr="0078485C">
        <w:t xml:space="preserve"> and</w:t>
      </w:r>
      <w:r>
        <w:t xml:space="preserve"> </w:t>
      </w:r>
      <w:r w:rsidRPr="0078485C">
        <w:t>Pillar Values with No Penalty</w:t>
      </w:r>
      <w:bookmarkStart w:id="6" w:name="_Toc466817886"/>
      <w:bookmarkStart w:id="7" w:name="_Toc466827410"/>
      <w:bookmarkEnd w:id="3"/>
      <w:bookmarkEnd w:id="4"/>
      <w:r>
        <w:t xml:space="preserve"> </w:t>
      </w:r>
      <w:r w:rsidRPr="0078485C">
        <w:t>(</w:t>
      </w:r>
      <w:proofErr w:type="spellStart"/>
      <w:r w:rsidRPr="0078485C">
        <w:t>y</w:t>
      </w:r>
      <w:r w:rsidRPr="0078485C">
        <w:rPr>
          <w:vertAlign w:val="subscript"/>
        </w:rPr>
        <w:t>min</w:t>
      </w:r>
      <w:proofErr w:type="spellEnd"/>
      <w:r w:rsidRPr="0078485C">
        <w:t xml:space="preserve"> =</w:t>
      </w:r>
      <w:r>
        <w:t xml:space="preserve"> </w:t>
      </w:r>
      <w:r w:rsidRPr="0078485C">
        <w:t>0</w:t>
      </w:r>
      <w:r>
        <w:t>;</w:t>
      </w:r>
      <w:r w:rsidRPr="0078485C">
        <w:t xml:space="preserve"> a, b =</w:t>
      </w:r>
      <w:r>
        <w:t xml:space="preserve"> </w:t>
      </w:r>
      <w:r w:rsidRPr="0078485C">
        <w:t>1)</w:t>
      </w:r>
      <w:bookmarkEnd w:id="5"/>
      <w:bookmarkEnd w:id="6"/>
      <w:bookmarkEnd w:id="7"/>
    </w:p>
    <w:p w:rsidR="00FB0884" w:rsidRPr="0078485C" w:rsidRDefault="00FB0884" w:rsidP="00FB0884">
      <w:pPr>
        <w:pStyle w:val="GEDIbooktablefigure"/>
        <w:ind w:left="567"/>
      </w:pPr>
    </w:p>
    <w:p w:rsidR="00FB0884" w:rsidRPr="0078485C" w:rsidRDefault="00FB0884" w:rsidP="00FB0884">
      <w:pPr>
        <w:spacing w:line="360" w:lineRule="auto"/>
        <w:jc w:val="center"/>
        <w:rPr>
          <w:rFonts w:cstheme="minorHAnsi"/>
          <w:sz w:val="24"/>
          <w:szCs w:val="24"/>
          <w:lang w:val="en-US"/>
        </w:rPr>
      </w:pPr>
      <w:r w:rsidRPr="0078485C">
        <w:rPr>
          <w:rFonts w:cstheme="minorHAnsi"/>
          <w:noProof/>
          <w:sz w:val="24"/>
          <w:szCs w:val="24"/>
          <w:lang w:eastAsia="en-GB"/>
        </w:rPr>
        <w:drawing>
          <wp:inline distT="0" distB="0" distL="0" distR="0" wp14:anchorId="7CCC2E49" wp14:editId="40189184">
            <wp:extent cx="3357677" cy="2451401"/>
            <wp:effectExtent l="0" t="0" r="0" b="6350"/>
            <wp:docPr id="1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3377472" cy="2465853"/>
                    </a:xfrm>
                    <a:prstGeom prst="rect">
                      <a:avLst/>
                    </a:prstGeom>
                    <a:noFill/>
                  </pic:spPr>
                </pic:pic>
              </a:graphicData>
            </a:graphic>
          </wp:inline>
        </w:drawing>
      </w:r>
    </w:p>
    <w:p w:rsidR="00FB0884" w:rsidRDefault="00FB0884" w:rsidP="00FB0884">
      <w:pPr>
        <w:spacing w:line="240" w:lineRule="auto"/>
        <w:ind w:left="567"/>
        <w:contextualSpacing/>
        <w:rPr>
          <w:rFonts w:eastAsia="Times New Roman" w:cstheme="minorHAnsi"/>
          <w:sz w:val="24"/>
          <w:szCs w:val="24"/>
          <w:lang w:val="en-US" w:eastAsia="hu-HU"/>
        </w:rPr>
      </w:pPr>
      <w:r w:rsidRPr="0078485C">
        <w:rPr>
          <w:rFonts w:eastAsia="Times New Roman" w:cstheme="minorHAnsi"/>
          <w:sz w:val="24"/>
          <w:szCs w:val="24"/>
          <w:lang w:val="en-US" w:eastAsia="hu-HU"/>
        </w:rPr>
        <w:t xml:space="preserve">Note that we do not know the size of </w:t>
      </w:r>
      <w:r>
        <w:rPr>
          <w:rFonts w:eastAsia="Times New Roman" w:cstheme="minorHAnsi"/>
          <w:sz w:val="24"/>
          <w:szCs w:val="24"/>
          <w:lang w:val="en-US" w:eastAsia="hu-HU"/>
        </w:rPr>
        <w:t xml:space="preserve">the </w:t>
      </w:r>
      <w:r w:rsidRPr="0078485C">
        <w:rPr>
          <w:rFonts w:eastAsia="Times New Roman" w:cstheme="minorHAnsi"/>
          <w:sz w:val="24"/>
          <w:szCs w:val="24"/>
          <w:lang w:val="en-US" w:eastAsia="hu-HU"/>
        </w:rPr>
        <w:t xml:space="preserve">penalty. To the best of our knowledge, no objective method exists to define the penalty function exactly. </w:t>
      </w:r>
      <w:r w:rsidRPr="004F6F9F">
        <w:rPr>
          <w:rFonts w:eastAsia="Times New Roman" w:cstheme="minorHAnsi"/>
          <w:sz w:val="24"/>
          <w:szCs w:val="24"/>
          <w:lang w:val="en-US" w:eastAsia="hu-HU"/>
        </w:rPr>
        <w:t>According to Figure 1,</w:t>
      </w:r>
      <w:r w:rsidRPr="0078485C">
        <w:rPr>
          <w:rFonts w:eastAsia="Times New Roman" w:cstheme="minorHAnsi"/>
          <w:sz w:val="24"/>
          <w:szCs w:val="24"/>
          <w:lang w:val="en-US" w:eastAsia="hu-HU"/>
        </w:rPr>
        <w:t xml:space="preserve"> the maximum penalty is 0,368</w:t>
      </w:r>
      <w:r>
        <w:rPr>
          <w:rFonts w:eastAsia="Times New Roman" w:cstheme="minorHAnsi"/>
          <w:sz w:val="24"/>
          <w:szCs w:val="24"/>
          <w:lang w:val="en-US" w:eastAsia="hu-HU"/>
        </w:rPr>
        <w:t>, which</w:t>
      </w:r>
      <w:r w:rsidRPr="0078485C">
        <w:rPr>
          <w:rFonts w:eastAsia="Times New Roman" w:cstheme="minorHAnsi"/>
          <w:sz w:val="24"/>
          <w:szCs w:val="24"/>
          <w:lang w:val="en-US" w:eastAsia="hu-HU"/>
        </w:rPr>
        <w:t xml:space="preserve"> is a</w:t>
      </w:r>
      <w:r>
        <w:rPr>
          <w:rFonts w:eastAsia="Times New Roman" w:cstheme="minorHAnsi"/>
          <w:sz w:val="24"/>
          <w:szCs w:val="24"/>
          <w:lang w:val="en-US" w:eastAsia="hu-HU"/>
        </w:rPr>
        <w:t>bout</w:t>
      </w:r>
      <w:r w:rsidRPr="0078485C">
        <w:rPr>
          <w:rFonts w:eastAsia="Times New Roman" w:cstheme="minorHAnsi"/>
          <w:sz w:val="24"/>
          <w:szCs w:val="24"/>
          <w:lang w:val="en-US" w:eastAsia="hu-HU"/>
        </w:rPr>
        <w:t xml:space="preserve"> a </w:t>
      </w:r>
      <w:r>
        <w:rPr>
          <w:rFonts w:eastAsia="Times New Roman" w:cstheme="minorHAnsi"/>
          <w:sz w:val="24"/>
          <w:szCs w:val="24"/>
          <w:lang w:val="en-US" w:eastAsia="hu-HU"/>
        </w:rPr>
        <w:t>one-</w:t>
      </w:r>
      <w:r w:rsidRPr="0078485C">
        <w:rPr>
          <w:rFonts w:eastAsia="Times New Roman" w:cstheme="minorHAnsi"/>
          <w:sz w:val="24"/>
          <w:szCs w:val="24"/>
          <w:lang w:val="en-US" w:eastAsia="hu-HU"/>
        </w:rPr>
        <w:t>third loss of the original value</w:t>
      </w:r>
      <w:r>
        <w:rPr>
          <w:rFonts w:eastAsia="Times New Roman" w:cstheme="minorHAnsi"/>
          <w:sz w:val="24"/>
          <w:szCs w:val="24"/>
          <w:lang w:val="en-US" w:eastAsia="hu-HU"/>
        </w:rPr>
        <w:t>, which</w:t>
      </w:r>
      <w:r w:rsidRPr="0078485C">
        <w:rPr>
          <w:rFonts w:eastAsia="Times New Roman" w:cstheme="minorHAnsi"/>
          <w:sz w:val="24"/>
          <w:szCs w:val="24"/>
          <w:lang w:val="en-US" w:eastAsia="hu-HU"/>
        </w:rPr>
        <w:t xml:space="preserve"> looks reasonable. Larger penalty values rearrange the ranking of the countries considerably. </w:t>
      </w:r>
    </w:p>
    <w:p w:rsidR="00525E23" w:rsidRPr="0078485C" w:rsidRDefault="00525E23" w:rsidP="00FB0884">
      <w:pPr>
        <w:spacing w:line="240" w:lineRule="auto"/>
        <w:ind w:left="567"/>
        <w:contextualSpacing/>
        <w:rPr>
          <w:rFonts w:eastAsia="Times New Roman" w:cstheme="minorHAnsi"/>
          <w:sz w:val="24"/>
          <w:szCs w:val="24"/>
          <w:lang w:val="en-US" w:eastAsia="hu-HU"/>
        </w:rPr>
      </w:pPr>
    </w:p>
    <w:p w:rsidR="00FB0884" w:rsidRPr="004F6F9F" w:rsidRDefault="00FB0884" w:rsidP="00FB0884">
      <w:pPr>
        <w:numPr>
          <w:ilvl w:val="0"/>
          <w:numId w:val="20"/>
        </w:numPr>
        <w:spacing w:after="0" w:line="240" w:lineRule="auto"/>
        <w:ind w:left="567" w:hanging="567"/>
        <w:jc w:val="both"/>
        <w:rPr>
          <w:rFonts w:eastAsia="Times New Roman" w:cstheme="minorHAnsi"/>
          <w:sz w:val="24"/>
          <w:szCs w:val="24"/>
          <w:lang w:val="en-US" w:eastAsia="hu-HU"/>
        </w:rPr>
      </w:pPr>
      <w:r w:rsidRPr="004F6F9F">
        <w:rPr>
          <w:rFonts w:eastAsia="Times New Roman" w:cstheme="minorHAnsi"/>
          <w:b/>
          <w:sz w:val="24"/>
          <w:szCs w:val="24"/>
          <w:lang w:val="en-US" w:eastAsia="hu-HU"/>
        </w:rPr>
        <w:t xml:space="preserve">Sub-index calculation </w:t>
      </w:r>
      <w:proofErr w:type="gramStart"/>
      <w:r w:rsidRPr="004F6F9F">
        <w:rPr>
          <w:rFonts w:eastAsia="Times New Roman" w:cstheme="minorHAnsi"/>
          <w:sz w:val="24"/>
          <w:szCs w:val="24"/>
          <w:lang w:val="en-US" w:eastAsia="hu-HU"/>
        </w:rPr>
        <w:t>The</w:t>
      </w:r>
      <w:proofErr w:type="gramEnd"/>
      <w:r w:rsidRPr="004F6F9F">
        <w:rPr>
          <w:rFonts w:eastAsia="Times New Roman" w:cstheme="minorHAnsi"/>
          <w:sz w:val="24"/>
          <w:szCs w:val="24"/>
          <w:lang w:val="en-US" w:eastAsia="hu-HU"/>
        </w:rPr>
        <w:t xml:space="preserve"> pillars are the basic building blocks of the sub-index: entrepreneurial attitudes, entrepreneurial abilities, and entrepreneurial aspirations. The value of a sub-index for any country is the arithmetic average of its PFB-adjusted pillars for that sub-index</w:t>
      </w:r>
      <w:r>
        <w:rPr>
          <w:rFonts w:eastAsia="Times New Roman" w:cstheme="minorHAnsi"/>
          <w:sz w:val="24"/>
          <w:szCs w:val="24"/>
          <w:lang w:val="en-US" w:eastAsia="hu-HU"/>
        </w:rPr>
        <w:t>,</w:t>
      </w:r>
      <w:r w:rsidRPr="004F6F9F">
        <w:rPr>
          <w:rFonts w:eastAsia="Times New Roman" w:cstheme="minorHAnsi"/>
          <w:sz w:val="24"/>
          <w:szCs w:val="24"/>
          <w:lang w:val="en-US" w:eastAsia="hu-HU"/>
        </w:rPr>
        <w:t xml:space="preserve"> multiplied by</w:t>
      </w:r>
      <w:r>
        <w:rPr>
          <w:rFonts w:eastAsia="Times New Roman" w:cstheme="minorHAnsi"/>
          <w:sz w:val="24"/>
          <w:szCs w:val="24"/>
          <w:lang w:val="en-US" w:eastAsia="hu-HU"/>
        </w:rPr>
        <w:t xml:space="preserve"> </w:t>
      </w:r>
      <w:r w:rsidRPr="004F6F9F">
        <w:rPr>
          <w:rFonts w:eastAsia="Times New Roman" w:cstheme="minorHAnsi"/>
          <w:sz w:val="24"/>
          <w:szCs w:val="24"/>
          <w:lang w:val="en-US" w:eastAsia="hu-HU"/>
        </w:rPr>
        <w:t>100. The maximum value of the sub-indices is 100 and the potential minimum is 0, both of which reflect</w:t>
      </w:r>
      <w:r w:rsidRPr="00EF06C8">
        <w:rPr>
          <w:rFonts w:eastAsia="Times New Roman" w:cstheme="minorHAnsi"/>
          <w:sz w:val="24"/>
          <w:szCs w:val="24"/>
          <w:lang w:val="en-US" w:eastAsia="hu-HU"/>
        </w:rPr>
        <w:t xml:space="preserve"> </w:t>
      </w:r>
      <w:r w:rsidRPr="004F6F9F">
        <w:rPr>
          <w:rFonts w:eastAsia="Times New Roman" w:cstheme="minorHAnsi"/>
          <w:sz w:val="24"/>
          <w:szCs w:val="24"/>
          <w:lang w:val="en-US" w:eastAsia="hu-HU"/>
        </w:rPr>
        <w:t>a country</w:t>
      </w:r>
      <w:r>
        <w:rPr>
          <w:rFonts w:eastAsia="Times New Roman" w:cstheme="minorHAnsi"/>
          <w:sz w:val="24"/>
          <w:szCs w:val="24"/>
          <w:lang w:val="en-US" w:eastAsia="hu-HU"/>
        </w:rPr>
        <w:t>’s</w:t>
      </w:r>
      <w:r w:rsidRPr="004F6F9F">
        <w:rPr>
          <w:rFonts w:eastAsia="Times New Roman" w:cstheme="minorHAnsi"/>
          <w:sz w:val="24"/>
          <w:szCs w:val="24"/>
          <w:lang w:val="en-US" w:eastAsia="hu-HU"/>
        </w:rPr>
        <w:t xml:space="preserve"> relative position</w:t>
      </w:r>
      <w:r>
        <w:rPr>
          <w:rFonts w:eastAsia="Times New Roman" w:cstheme="minorHAnsi"/>
          <w:sz w:val="24"/>
          <w:szCs w:val="24"/>
          <w:lang w:val="en-US" w:eastAsia="hu-HU"/>
        </w:rPr>
        <w:t xml:space="preserve"> </w:t>
      </w:r>
      <w:r w:rsidRPr="004F6F9F">
        <w:rPr>
          <w:rFonts w:eastAsia="Times New Roman" w:cstheme="minorHAnsi"/>
          <w:sz w:val="24"/>
          <w:szCs w:val="24"/>
          <w:lang w:val="en-US" w:eastAsia="hu-HU"/>
        </w:rPr>
        <w:t>in a particular sub-index.</w:t>
      </w:r>
    </w:p>
    <w:p w:rsidR="00FB0884" w:rsidRPr="004F6F9F" w:rsidRDefault="00FB0884" w:rsidP="00FB0884">
      <w:pPr>
        <w:spacing w:line="240" w:lineRule="auto"/>
        <w:ind w:left="567" w:hanging="567"/>
        <w:jc w:val="both"/>
        <w:rPr>
          <w:rFonts w:eastAsia="Times New Roman"/>
          <w:sz w:val="24"/>
          <w:szCs w:val="24"/>
          <w:lang w:val="en-US" w:eastAsia="hu-HU"/>
        </w:rPr>
      </w:pPr>
    </w:p>
    <w:p w:rsidR="00FB0884" w:rsidRPr="004F6F9F" w:rsidRDefault="00FB0884" w:rsidP="00FB0884">
      <w:pPr>
        <w:tabs>
          <w:tab w:val="left" w:pos="5103"/>
        </w:tabs>
        <w:spacing w:line="240" w:lineRule="auto"/>
        <w:ind w:left="567" w:hanging="567"/>
        <w:jc w:val="center"/>
        <w:rPr>
          <w:rFonts w:eastAsia="Times New Roman"/>
          <w:sz w:val="24"/>
          <w:szCs w:val="24"/>
          <w:lang w:val="en-US" w:eastAsia="hu-HU"/>
        </w:rPr>
      </w:pPr>
      <m:oMathPara>
        <m:oMathParaPr>
          <m:jc m:val="left"/>
        </m:oMathParaPr>
        <m:oMath>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ATT</m:t>
              </m:r>
            </m:e>
            <m:sub>
              <m:r>
                <w:rPr>
                  <w:rFonts w:ascii="Cambria Math" w:eastAsia="Times New Roman" w:hAnsi="Cambria Math"/>
                  <w:sz w:val="24"/>
                  <w:szCs w:val="24"/>
                  <w:lang w:val="en-US" w:eastAsia="hu-HU"/>
                </w:rPr>
                <m:t>i</m:t>
              </m:r>
            </m:sub>
          </m:sSub>
          <m:r>
            <w:rPr>
              <w:rFonts w:ascii="Cambria Math" w:eastAsia="Times New Roman" w:hAnsi="Cambria Math"/>
              <w:sz w:val="24"/>
              <w:szCs w:val="24"/>
              <w:lang w:val="en-US" w:eastAsia="hu-HU"/>
            </w:rPr>
            <m:t>=100</m:t>
          </m:r>
          <m:nary>
            <m:naryPr>
              <m:chr m:val="∑"/>
              <m:limLoc m:val="subSup"/>
              <m:ctrlPr>
                <w:rPr>
                  <w:rFonts w:ascii="Cambria Math" w:eastAsia="Times New Roman" w:hAnsi="Cambria Math"/>
                  <w:i/>
                  <w:sz w:val="24"/>
                  <w:szCs w:val="24"/>
                  <w:lang w:val="en-US" w:eastAsia="hu-HU"/>
                </w:rPr>
              </m:ctrlPr>
            </m:naryPr>
            <m:sub>
              <m:r>
                <w:rPr>
                  <w:rFonts w:ascii="Cambria Math" w:eastAsia="Times New Roman" w:hAnsi="Cambria Math"/>
                  <w:sz w:val="24"/>
                  <w:szCs w:val="24"/>
                  <w:lang w:val="en-US" w:eastAsia="hu-HU"/>
                </w:rPr>
                <m:t>j=1</m:t>
              </m:r>
            </m:sub>
            <m:sup>
              <m:r>
                <w:rPr>
                  <w:rFonts w:ascii="Cambria Math" w:eastAsia="Times New Roman" w:hAnsi="Cambria Math"/>
                  <w:sz w:val="24"/>
                  <w:szCs w:val="24"/>
                  <w:lang w:val="en-US" w:eastAsia="hu-HU"/>
                </w:rPr>
                <m:t>5</m:t>
              </m:r>
            </m:sup>
            <m:e>
              <m:r>
                <w:rPr>
                  <w:rFonts w:ascii="Cambria Math" w:eastAsia="Times New Roman" w:hAnsi="Cambria Math"/>
                  <w:sz w:val="24"/>
                  <w:szCs w:val="24"/>
                  <w:lang w:val="en-US" w:eastAsia="hu-HU"/>
                </w:rPr>
                <m:t xml:space="preserve"> </m:t>
              </m:r>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h</m:t>
                  </m:r>
                </m:e>
                <m:sub>
                  <m:r>
                    <w:rPr>
                      <w:rFonts w:ascii="Cambria Math" w:eastAsia="Times New Roman" w:hAnsi="Cambria Math"/>
                      <w:sz w:val="24"/>
                      <w:szCs w:val="24"/>
                      <w:lang w:val="en-US" w:eastAsia="hu-HU"/>
                    </w:rPr>
                    <m:t>j</m:t>
                  </m:r>
                </m:sub>
              </m:sSub>
            </m:e>
          </m:nary>
          <m:r>
            <w:rPr>
              <w:rFonts w:ascii="Cambria Math" w:eastAsia="Times New Roman" w:hAnsi="Cambria Math"/>
              <w:sz w:val="24"/>
              <w:szCs w:val="24"/>
              <w:lang w:val="en-US" w:eastAsia="hu-HU"/>
            </w:rPr>
            <m:t xml:space="preserve">                                          (10a)</m:t>
          </m:r>
        </m:oMath>
      </m:oMathPara>
    </w:p>
    <w:p w:rsidR="00FB0884" w:rsidRPr="004F6F9F" w:rsidRDefault="00FB0884" w:rsidP="00FB0884">
      <w:pPr>
        <w:spacing w:line="240" w:lineRule="auto"/>
        <w:ind w:left="567" w:hanging="567"/>
        <w:jc w:val="center"/>
        <w:rPr>
          <w:rFonts w:eastAsia="Times New Roman"/>
          <w:sz w:val="24"/>
          <w:szCs w:val="24"/>
          <w:lang w:val="en-US" w:eastAsia="hu-HU"/>
        </w:rPr>
      </w:pPr>
      <m:oMathPara>
        <m:oMathParaPr>
          <m:jc m:val="left"/>
        </m:oMathParaPr>
        <m:oMath>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ABT</m:t>
              </m:r>
            </m:e>
            <m:sub>
              <m:r>
                <w:rPr>
                  <w:rFonts w:ascii="Cambria Math" w:eastAsia="Times New Roman" w:hAnsi="Cambria Math"/>
                  <w:sz w:val="24"/>
                  <w:szCs w:val="24"/>
                  <w:lang w:val="en-US" w:eastAsia="hu-HU"/>
                </w:rPr>
                <m:t>i</m:t>
              </m:r>
            </m:sub>
          </m:sSub>
          <m:r>
            <w:rPr>
              <w:rFonts w:ascii="Cambria Math" w:eastAsia="Times New Roman" w:hAnsi="Cambria Math"/>
              <w:sz w:val="24"/>
              <w:szCs w:val="24"/>
              <w:lang w:val="en-US" w:eastAsia="hu-HU"/>
            </w:rPr>
            <m:t>=100</m:t>
          </m:r>
          <m:nary>
            <m:naryPr>
              <m:chr m:val="∑"/>
              <m:limLoc m:val="subSup"/>
              <m:ctrlPr>
                <w:rPr>
                  <w:rFonts w:ascii="Cambria Math" w:eastAsia="Times New Roman" w:hAnsi="Cambria Math"/>
                  <w:i/>
                  <w:sz w:val="24"/>
                  <w:szCs w:val="24"/>
                  <w:lang w:val="en-US" w:eastAsia="hu-HU"/>
                </w:rPr>
              </m:ctrlPr>
            </m:naryPr>
            <m:sub>
              <m:r>
                <w:rPr>
                  <w:rFonts w:ascii="Cambria Math" w:eastAsia="Times New Roman" w:hAnsi="Cambria Math"/>
                  <w:sz w:val="24"/>
                  <w:szCs w:val="24"/>
                  <w:lang w:val="en-US" w:eastAsia="hu-HU"/>
                </w:rPr>
                <m:t>j=6</m:t>
              </m:r>
            </m:sub>
            <m:sup>
              <m:r>
                <w:rPr>
                  <w:rFonts w:ascii="Cambria Math" w:eastAsia="Times New Roman" w:hAnsi="Cambria Math"/>
                  <w:sz w:val="24"/>
                  <w:szCs w:val="24"/>
                  <w:lang w:val="en-US" w:eastAsia="hu-HU"/>
                </w:rPr>
                <m:t>9</m:t>
              </m:r>
            </m:sup>
            <m:e>
              <m:r>
                <w:rPr>
                  <w:rFonts w:ascii="Cambria Math" w:eastAsia="Times New Roman" w:hAnsi="Cambria Math"/>
                  <w:sz w:val="24"/>
                  <w:szCs w:val="24"/>
                  <w:lang w:val="en-US" w:eastAsia="hu-HU"/>
                </w:rPr>
                <m:t xml:space="preserve"> </m:t>
              </m:r>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h</m:t>
                  </m:r>
                </m:e>
                <m:sub>
                  <m:r>
                    <w:rPr>
                      <w:rFonts w:ascii="Cambria Math" w:eastAsia="Times New Roman" w:hAnsi="Cambria Math"/>
                      <w:sz w:val="24"/>
                      <w:szCs w:val="24"/>
                      <w:lang w:val="en-US" w:eastAsia="hu-HU"/>
                    </w:rPr>
                    <m:t>j</m:t>
                  </m:r>
                </m:sub>
              </m:sSub>
            </m:e>
          </m:nary>
          <m:r>
            <w:rPr>
              <w:rFonts w:ascii="Cambria Math" w:eastAsia="Times New Roman" w:hAnsi="Cambria Math"/>
              <w:sz w:val="24"/>
              <w:szCs w:val="24"/>
              <w:lang w:val="en-US" w:eastAsia="hu-HU"/>
            </w:rPr>
            <m:t xml:space="preserve">                                         (10b)</m:t>
          </m:r>
        </m:oMath>
      </m:oMathPara>
    </w:p>
    <w:p w:rsidR="00FB0884" w:rsidRPr="004F6F9F" w:rsidRDefault="00FB0884" w:rsidP="00FB0884">
      <w:pPr>
        <w:spacing w:line="240" w:lineRule="auto"/>
        <w:ind w:left="567" w:hanging="567"/>
        <w:jc w:val="center"/>
        <w:rPr>
          <w:rFonts w:eastAsia="Times New Roman"/>
          <w:sz w:val="24"/>
          <w:szCs w:val="24"/>
          <w:lang w:val="en-US" w:eastAsia="hu-HU"/>
        </w:rPr>
      </w:pPr>
      <m:oMathPara>
        <m:oMathParaPr>
          <m:jc m:val="left"/>
        </m:oMathParaPr>
        <m:oMath>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ASP</m:t>
              </m:r>
            </m:e>
            <m:sub>
              <m:r>
                <w:rPr>
                  <w:rFonts w:ascii="Cambria Math" w:eastAsia="Times New Roman" w:hAnsi="Cambria Math"/>
                  <w:sz w:val="24"/>
                  <w:szCs w:val="24"/>
                  <w:lang w:val="en-US" w:eastAsia="hu-HU"/>
                </w:rPr>
                <m:t>i</m:t>
              </m:r>
            </m:sub>
          </m:sSub>
          <m:r>
            <w:rPr>
              <w:rFonts w:ascii="Cambria Math" w:eastAsia="Times New Roman" w:hAnsi="Cambria Math"/>
              <w:sz w:val="24"/>
              <w:szCs w:val="24"/>
              <w:lang w:val="en-US" w:eastAsia="hu-HU"/>
            </w:rPr>
            <m:t>=100</m:t>
          </m:r>
          <m:nary>
            <m:naryPr>
              <m:chr m:val="∑"/>
              <m:limLoc m:val="subSup"/>
              <m:ctrlPr>
                <w:rPr>
                  <w:rFonts w:ascii="Cambria Math" w:eastAsia="Times New Roman" w:hAnsi="Cambria Math"/>
                  <w:i/>
                  <w:sz w:val="24"/>
                  <w:szCs w:val="24"/>
                  <w:lang w:val="en-US" w:eastAsia="hu-HU"/>
                </w:rPr>
              </m:ctrlPr>
            </m:naryPr>
            <m:sub>
              <m:r>
                <w:rPr>
                  <w:rFonts w:ascii="Cambria Math" w:eastAsia="Times New Roman" w:hAnsi="Cambria Math"/>
                  <w:sz w:val="24"/>
                  <w:szCs w:val="24"/>
                  <w:lang w:val="en-US" w:eastAsia="hu-HU"/>
                </w:rPr>
                <m:t>j=10</m:t>
              </m:r>
            </m:sub>
            <m:sup>
              <m:r>
                <w:rPr>
                  <w:rFonts w:ascii="Cambria Math" w:eastAsia="Times New Roman" w:hAnsi="Cambria Math"/>
                  <w:sz w:val="24"/>
                  <w:szCs w:val="24"/>
                  <w:lang w:val="en-US" w:eastAsia="hu-HU"/>
                </w:rPr>
                <m:t>14</m:t>
              </m:r>
            </m:sup>
            <m:e>
              <m:r>
                <w:rPr>
                  <w:rFonts w:ascii="Cambria Math" w:eastAsia="Times New Roman" w:hAnsi="Cambria Math"/>
                  <w:sz w:val="24"/>
                  <w:szCs w:val="24"/>
                  <w:lang w:val="en-US" w:eastAsia="hu-HU"/>
                </w:rPr>
                <m:t xml:space="preserve"> </m:t>
              </m:r>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h</m:t>
                  </m:r>
                </m:e>
                <m:sub>
                  <m:r>
                    <w:rPr>
                      <w:rFonts w:ascii="Cambria Math" w:eastAsia="Times New Roman" w:hAnsi="Cambria Math"/>
                      <w:sz w:val="24"/>
                      <w:szCs w:val="24"/>
                      <w:lang w:val="en-US" w:eastAsia="hu-HU"/>
                    </w:rPr>
                    <m:t>j</m:t>
                  </m:r>
                </m:sub>
              </m:sSub>
            </m:e>
          </m:nary>
          <m:r>
            <w:rPr>
              <w:rFonts w:ascii="Cambria Math" w:eastAsia="Times New Roman" w:hAnsi="Cambria Math"/>
              <w:sz w:val="24"/>
              <w:szCs w:val="24"/>
              <w:lang w:val="en-US" w:eastAsia="hu-HU"/>
            </w:rPr>
            <m:t xml:space="preserve">                                        (10c)</m:t>
          </m:r>
        </m:oMath>
      </m:oMathPara>
    </w:p>
    <w:p w:rsidR="00FB0884" w:rsidRPr="0027506A" w:rsidRDefault="00FB0884" w:rsidP="00FB0884">
      <w:pPr>
        <w:spacing w:line="240" w:lineRule="auto"/>
        <w:ind w:left="1134" w:hanging="567"/>
        <w:rPr>
          <w:rFonts w:eastAsia="Times New Roman"/>
          <w:lang w:val="en-US" w:eastAsia="hu-HU"/>
        </w:rPr>
      </w:pPr>
      <w:proofErr w:type="gramStart"/>
      <w:r w:rsidRPr="0027506A">
        <w:rPr>
          <w:rFonts w:eastAsia="Times New Roman"/>
          <w:lang w:val="en-US" w:eastAsia="hu-HU"/>
        </w:rPr>
        <w:t>where</w:t>
      </w:r>
      <w:proofErr w:type="gramEnd"/>
      <w:r w:rsidRPr="0027506A">
        <w:rPr>
          <w:rFonts w:eastAsia="Times New Roman"/>
          <w:lang w:val="en-US" w:eastAsia="hu-HU"/>
        </w:rPr>
        <w:t xml:space="preserve"> </w:t>
      </w:r>
      <m:oMath>
        <m:sSub>
          <m:sSubPr>
            <m:ctrlPr>
              <w:rPr>
                <w:rFonts w:ascii="Cambria Math" w:eastAsia="Times New Roman" w:hAnsi="Cambria Math"/>
                <w:lang w:val="en-US" w:eastAsia="hu-HU"/>
              </w:rPr>
            </m:ctrlPr>
          </m:sSubPr>
          <m:e>
            <m:r>
              <w:rPr>
                <w:rFonts w:ascii="Cambria Math" w:eastAsia="Times New Roman" w:hAnsi="Cambria Math"/>
                <w:lang w:val="en-US" w:eastAsia="hu-HU"/>
              </w:rPr>
              <m:t>h</m:t>
            </m:r>
          </m:e>
          <m:sub>
            <m:r>
              <w:rPr>
                <w:rFonts w:ascii="Cambria Math" w:eastAsia="Times New Roman" w:hAnsi="Cambria Math"/>
                <w:lang w:val="en-US" w:eastAsia="hu-HU"/>
              </w:rPr>
              <m:t>i</m:t>
            </m:r>
            <m:r>
              <m:rPr>
                <m:sty m:val="p"/>
              </m:rPr>
              <w:rPr>
                <w:rFonts w:ascii="Cambria Math" w:eastAsia="Times New Roman" w:hAnsi="Cambria Math"/>
                <w:lang w:val="en-US" w:eastAsia="hu-HU"/>
              </w:rPr>
              <m:t>,</m:t>
            </m:r>
            <m:r>
              <w:rPr>
                <w:rFonts w:ascii="Cambria Math" w:eastAsia="Times New Roman" w:hAnsi="Cambria Math"/>
                <w:lang w:val="en-US" w:eastAsia="hu-HU"/>
              </w:rPr>
              <m:t>j</m:t>
            </m:r>
          </m:sub>
        </m:sSub>
      </m:oMath>
      <w:r>
        <w:rPr>
          <w:rFonts w:eastAsia="Times New Roman"/>
          <w:lang w:val="en-US" w:eastAsia="hu-HU"/>
        </w:rPr>
        <w:t xml:space="preserve"> </w:t>
      </w:r>
      <w:r w:rsidRPr="0027506A">
        <w:rPr>
          <w:rFonts w:eastAsia="Times New Roman"/>
          <w:lang w:val="en-US" w:eastAsia="hu-HU"/>
        </w:rPr>
        <w:t xml:space="preserve">is the modified, post-penalty value of pillar j in country </w:t>
      </w:r>
      <w:proofErr w:type="spellStart"/>
      <w:r w:rsidRPr="0027506A">
        <w:rPr>
          <w:rFonts w:eastAsia="Times New Roman"/>
          <w:lang w:val="en-US" w:eastAsia="hu-HU"/>
        </w:rPr>
        <w:t>i</w:t>
      </w:r>
      <w:proofErr w:type="spellEnd"/>
    </w:p>
    <w:p w:rsidR="00FB0884" w:rsidRPr="0027506A" w:rsidRDefault="00FB0884" w:rsidP="00FB0884">
      <w:pPr>
        <w:spacing w:line="240" w:lineRule="auto"/>
        <w:ind w:left="1134" w:hanging="567"/>
        <w:rPr>
          <w:rFonts w:eastAsia="Times New Roman"/>
          <w:lang w:val="en-US" w:eastAsia="hu-HU"/>
        </w:rPr>
      </w:pPr>
      <w:proofErr w:type="spellStart"/>
      <w:r w:rsidRPr="0027506A">
        <w:rPr>
          <w:rFonts w:eastAsia="Times New Roman"/>
          <w:lang w:val="en-US" w:eastAsia="hu-HU"/>
        </w:rPr>
        <w:t>i</w:t>
      </w:r>
      <w:proofErr w:type="spellEnd"/>
      <w:r w:rsidRPr="0027506A">
        <w:rPr>
          <w:rFonts w:eastAsia="Times New Roman"/>
          <w:lang w:val="en-US" w:eastAsia="hu-HU"/>
        </w:rPr>
        <w:t xml:space="preserve"> = 1, </w:t>
      </w:r>
      <w:proofErr w:type="gramStart"/>
      <w:r w:rsidRPr="0027506A">
        <w:rPr>
          <w:rFonts w:eastAsia="Times New Roman"/>
          <w:lang w:val="en-US" w:eastAsia="hu-HU"/>
        </w:rPr>
        <w:t>2,……n</w:t>
      </w:r>
      <w:proofErr w:type="gramEnd"/>
      <w:r w:rsidRPr="0027506A">
        <w:rPr>
          <w:rFonts w:eastAsia="Times New Roman"/>
          <w:lang w:val="en-US" w:eastAsia="hu-HU"/>
        </w:rPr>
        <w:t xml:space="preserve"> = the number of countries</w:t>
      </w:r>
    </w:p>
    <w:p w:rsidR="00FB0884" w:rsidRDefault="00FB0884" w:rsidP="00FB0884">
      <w:pPr>
        <w:spacing w:line="240" w:lineRule="auto"/>
        <w:ind w:left="1134" w:hanging="567"/>
        <w:rPr>
          <w:rFonts w:eastAsia="Times New Roman"/>
          <w:lang w:val="en-US" w:eastAsia="hu-HU"/>
        </w:rPr>
      </w:pPr>
      <w:r w:rsidRPr="0027506A">
        <w:rPr>
          <w:rFonts w:eastAsia="Times New Roman"/>
          <w:lang w:val="en-US" w:eastAsia="hu-HU"/>
        </w:rPr>
        <w:t>j</w:t>
      </w:r>
      <w:r>
        <w:rPr>
          <w:rFonts w:eastAsia="Times New Roman"/>
          <w:lang w:val="en-US" w:eastAsia="hu-HU"/>
        </w:rPr>
        <w:t xml:space="preserve"> </w:t>
      </w:r>
      <w:r w:rsidRPr="0027506A">
        <w:rPr>
          <w:rFonts w:eastAsia="Times New Roman"/>
          <w:lang w:val="en-US" w:eastAsia="hu-HU"/>
        </w:rPr>
        <w:t xml:space="preserve">= 1, </w:t>
      </w:r>
      <w:proofErr w:type="gramStart"/>
      <w:r w:rsidRPr="0027506A">
        <w:rPr>
          <w:rFonts w:eastAsia="Times New Roman"/>
          <w:lang w:val="en-US" w:eastAsia="hu-HU"/>
        </w:rPr>
        <w:t>2,.……14</w:t>
      </w:r>
      <w:proofErr w:type="gramEnd"/>
      <w:r>
        <w:rPr>
          <w:rFonts w:eastAsia="Times New Roman"/>
          <w:lang w:val="en-US" w:eastAsia="hu-HU"/>
        </w:rPr>
        <w:t xml:space="preserve"> </w:t>
      </w:r>
      <w:r w:rsidRPr="0027506A">
        <w:rPr>
          <w:rFonts w:eastAsia="Times New Roman"/>
          <w:lang w:val="en-US" w:eastAsia="hu-HU"/>
        </w:rPr>
        <w:t>= the number of pillars</w:t>
      </w:r>
    </w:p>
    <w:p w:rsidR="00525E23" w:rsidRPr="0027506A" w:rsidRDefault="00525E23" w:rsidP="00FB0884">
      <w:pPr>
        <w:spacing w:line="240" w:lineRule="auto"/>
        <w:ind w:left="1134" w:hanging="567"/>
        <w:rPr>
          <w:rFonts w:eastAsia="Times New Roman"/>
          <w:lang w:val="en-US" w:eastAsia="hu-HU"/>
        </w:rPr>
      </w:pPr>
    </w:p>
    <w:p w:rsidR="00FB0884" w:rsidRDefault="00FB0884" w:rsidP="00FB0884">
      <w:pPr>
        <w:numPr>
          <w:ilvl w:val="0"/>
          <w:numId w:val="21"/>
        </w:numPr>
        <w:spacing w:after="0" w:line="240" w:lineRule="auto"/>
        <w:ind w:left="567" w:hanging="567"/>
        <w:jc w:val="both"/>
        <w:rPr>
          <w:rFonts w:eastAsia="Times New Roman" w:cstheme="minorHAnsi"/>
          <w:sz w:val="24"/>
          <w:szCs w:val="24"/>
          <w:lang w:val="en-US" w:eastAsia="hu-HU"/>
        </w:rPr>
      </w:pPr>
      <w:r w:rsidRPr="004F6F9F">
        <w:rPr>
          <w:rFonts w:eastAsia="Times New Roman" w:cstheme="minorHAnsi"/>
          <w:b/>
          <w:sz w:val="24"/>
          <w:szCs w:val="24"/>
          <w:lang w:val="en-US" w:eastAsia="hu-HU"/>
        </w:rPr>
        <w:t>The Global Entrepreneurship Index calculation</w:t>
      </w:r>
      <w:r w:rsidRPr="004F6F9F">
        <w:rPr>
          <w:rFonts w:eastAsia="Times New Roman" w:cstheme="minorHAnsi"/>
          <w:sz w:val="24"/>
          <w:szCs w:val="24"/>
          <w:lang w:val="en-US" w:eastAsia="hu-HU"/>
        </w:rPr>
        <w:t xml:space="preserve"> </w:t>
      </w:r>
      <w:proofErr w:type="gramStart"/>
      <w:r w:rsidRPr="004F6F9F">
        <w:rPr>
          <w:rFonts w:eastAsia="Times New Roman" w:cstheme="minorHAnsi"/>
          <w:sz w:val="24"/>
          <w:szCs w:val="24"/>
          <w:lang w:val="en-US" w:eastAsia="hu-HU"/>
        </w:rPr>
        <w:t>The</w:t>
      </w:r>
      <w:proofErr w:type="gramEnd"/>
      <w:r w:rsidRPr="004F6F9F">
        <w:rPr>
          <w:rFonts w:eastAsia="Times New Roman" w:cstheme="minorHAnsi"/>
          <w:sz w:val="24"/>
          <w:szCs w:val="24"/>
          <w:lang w:val="en-US" w:eastAsia="hu-HU"/>
        </w:rPr>
        <w:t xml:space="preserve"> super-index, the Global Entrepreneurship Index, is simply the average of the three sub-indices. Since 100 represents the theoretically available limit</w:t>
      </w:r>
      <w:r>
        <w:rPr>
          <w:rFonts w:eastAsia="Times New Roman" w:cstheme="minorHAnsi"/>
          <w:sz w:val="24"/>
          <w:szCs w:val="24"/>
          <w:lang w:val="en-US" w:eastAsia="hu-HU"/>
        </w:rPr>
        <w:t>,</w:t>
      </w:r>
      <w:r w:rsidRPr="004F6F9F">
        <w:rPr>
          <w:rFonts w:eastAsia="Times New Roman" w:cstheme="minorHAnsi"/>
          <w:sz w:val="24"/>
          <w:szCs w:val="24"/>
          <w:lang w:val="en-US" w:eastAsia="hu-HU"/>
        </w:rPr>
        <w:t xml:space="preserve"> the GEI points can also be interpreted as a measure of </w:t>
      </w:r>
      <w:r>
        <w:rPr>
          <w:rFonts w:eastAsia="Times New Roman" w:cstheme="minorHAnsi"/>
          <w:sz w:val="24"/>
          <w:szCs w:val="24"/>
          <w:lang w:val="en-US" w:eastAsia="hu-HU"/>
        </w:rPr>
        <w:t xml:space="preserve">the </w:t>
      </w:r>
      <w:r w:rsidRPr="004F6F9F">
        <w:rPr>
          <w:rFonts w:eastAsia="Times New Roman" w:cstheme="minorHAnsi"/>
          <w:sz w:val="24"/>
          <w:szCs w:val="24"/>
          <w:lang w:val="en-US" w:eastAsia="hu-HU"/>
        </w:rPr>
        <w:t>efficiency of the entrepreneurship resources</w:t>
      </w:r>
    </w:p>
    <w:p w:rsidR="00525E23" w:rsidRPr="004F6F9F" w:rsidRDefault="00525E23" w:rsidP="00FB0884">
      <w:pPr>
        <w:numPr>
          <w:ilvl w:val="0"/>
          <w:numId w:val="21"/>
        </w:numPr>
        <w:spacing w:after="0" w:line="240" w:lineRule="auto"/>
        <w:ind w:left="567" w:hanging="567"/>
        <w:jc w:val="both"/>
        <w:rPr>
          <w:rFonts w:eastAsia="Times New Roman" w:cstheme="minorHAnsi"/>
          <w:sz w:val="24"/>
          <w:szCs w:val="24"/>
          <w:lang w:val="en-US" w:eastAsia="hu-HU"/>
        </w:rPr>
      </w:pPr>
    </w:p>
    <w:p w:rsidR="00FB0884" w:rsidRPr="004F6F9F" w:rsidRDefault="00FB0884" w:rsidP="00FB0884">
      <w:pPr>
        <w:spacing w:line="240" w:lineRule="auto"/>
        <w:rPr>
          <w:rFonts w:eastAsia="Times New Roman"/>
          <w:sz w:val="24"/>
          <w:szCs w:val="24"/>
          <w:lang w:val="en-US" w:eastAsia="hu-HU"/>
        </w:rPr>
      </w:pPr>
      <m:oMathPara>
        <m:oMathParaPr>
          <m:jc m:val="center"/>
        </m:oMathParaPr>
        <m:oMath>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GEDI</m:t>
              </m:r>
            </m:e>
            <m:sub>
              <m:r>
                <w:rPr>
                  <w:rFonts w:ascii="Cambria Math" w:eastAsia="Times New Roman" w:hAnsi="Cambria Math"/>
                  <w:sz w:val="24"/>
                  <w:szCs w:val="24"/>
                  <w:lang w:val="en-US" w:eastAsia="hu-HU"/>
                </w:rPr>
                <m:t>i</m:t>
              </m:r>
            </m:sub>
          </m:sSub>
          <m:r>
            <w:rPr>
              <w:rFonts w:ascii="Cambria Math" w:eastAsia="Times New Roman" w:hAnsi="Cambria Math"/>
              <w:sz w:val="24"/>
              <w:szCs w:val="24"/>
              <w:lang w:val="en-US" w:eastAsia="hu-HU"/>
            </w:rPr>
            <m:t>=</m:t>
          </m:r>
          <m:f>
            <m:fPr>
              <m:ctrlPr>
                <w:rPr>
                  <w:rFonts w:ascii="Cambria Math" w:eastAsia="Times New Roman" w:hAnsi="Cambria Math"/>
                  <w:i/>
                  <w:sz w:val="24"/>
                  <w:szCs w:val="24"/>
                  <w:lang w:val="en-US" w:eastAsia="hu-HU"/>
                </w:rPr>
              </m:ctrlPr>
            </m:fPr>
            <m:num>
              <m:r>
                <w:rPr>
                  <w:rFonts w:ascii="Cambria Math" w:eastAsia="Times New Roman" w:hAnsi="Cambria Math"/>
                  <w:sz w:val="24"/>
                  <w:szCs w:val="24"/>
                  <w:lang w:val="en-US" w:eastAsia="hu-HU"/>
                </w:rPr>
                <m:t>1</m:t>
              </m:r>
            </m:num>
            <m:den>
              <m:r>
                <w:rPr>
                  <w:rFonts w:ascii="Cambria Math" w:eastAsia="Times New Roman" w:hAnsi="Cambria Math"/>
                  <w:sz w:val="24"/>
                  <w:szCs w:val="24"/>
                  <w:lang w:val="en-US" w:eastAsia="hu-HU"/>
                </w:rPr>
                <m:t>3</m:t>
              </m:r>
            </m:den>
          </m:f>
          <m:r>
            <w:rPr>
              <w:rFonts w:ascii="Cambria Math" w:eastAsia="Times New Roman" w:hAnsi="Cambria Math"/>
              <w:sz w:val="24"/>
              <w:szCs w:val="24"/>
              <w:lang w:val="en-US" w:eastAsia="hu-HU"/>
            </w:rPr>
            <m:t>(</m:t>
          </m:r>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ATT</m:t>
              </m:r>
            </m:e>
            <m:sub>
              <m:r>
                <w:rPr>
                  <w:rFonts w:ascii="Cambria Math" w:eastAsia="Times New Roman" w:hAnsi="Cambria Math"/>
                  <w:sz w:val="24"/>
                  <w:szCs w:val="24"/>
                  <w:lang w:val="en-US" w:eastAsia="hu-HU"/>
                </w:rPr>
                <m:t>i</m:t>
              </m:r>
            </m:sub>
          </m:sSub>
          <m:r>
            <w:rPr>
              <w:rFonts w:ascii="Cambria Math" w:eastAsia="Times New Roman" w:hAnsi="Cambria Math"/>
              <w:sz w:val="24"/>
              <w:szCs w:val="24"/>
              <w:lang w:val="en-US" w:eastAsia="hu-HU"/>
            </w:rPr>
            <m:t xml:space="preserve">+ </m:t>
          </m:r>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ABT</m:t>
              </m:r>
            </m:e>
            <m:sub>
              <m:r>
                <w:rPr>
                  <w:rFonts w:ascii="Cambria Math" w:eastAsia="Times New Roman" w:hAnsi="Cambria Math"/>
                  <w:sz w:val="24"/>
                  <w:szCs w:val="24"/>
                  <w:lang w:val="en-US" w:eastAsia="hu-HU"/>
                </w:rPr>
                <m:t>i</m:t>
              </m:r>
            </m:sub>
          </m:sSub>
          <m:r>
            <w:rPr>
              <w:rFonts w:ascii="Cambria Math" w:eastAsia="Times New Roman" w:hAnsi="Cambria Math"/>
              <w:sz w:val="24"/>
              <w:szCs w:val="24"/>
              <w:lang w:val="en-US" w:eastAsia="hu-HU"/>
            </w:rPr>
            <m:t>+</m:t>
          </m:r>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ASP</m:t>
              </m:r>
            </m:e>
            <m:sub>
              <m:r>
                <w:rPr>
                  <w:rFonts w:ascii="Cambria Math" w:eastAsia="Times New Roman" w:hAnsi="Cambria Math"/>
                  <w:sz w:val="24"/>
                  <w:szCs w:val="24"/>
                  <w:lang w:val="en-US" w:eastAsia="hu-HU"/>
                </w:rPr>
                <m:t>i</m:t>
              </m:r>
            </m:sub>
          </m:sSub>
          <m:r>
            <w:rPr>
              <w:rFonts w:ascii="Cambria Math" w:eastAsia="Times New Roman" w:hAnsi="Cambria Math"/>
              <w:sz w:val="24"/>
              <w:szCs w:val="24"/>
              <w:lang w:val="en-US" w:eastAsia="hu-HU"/>
            </w:rPr>
            <m:t>)                 (11)</m:t>
          </m:r>
        </m:oMath>
      </m:oMathPara>
    </w:p>
    <w:p w:rsidR="00FB0884" w:rsidRDefault="00FB0884" w:rsidP="00FB0884">
      <w:pPr>
        <w:spacing w:line="240" w:lineRule="auto"/>
        <w:ind w:left="567"/>
        <w:rPr>
          <w:rFonts w:eastAsia="Times New Roman"/>
          <w:lang w:val="en-US" w:eastAsia="hu-HU"/>
        </w:rPr>
      </w:pPr>
      <w:proofErr w:type="gramStart"/>
      <w:r w:rsidRPr="0027506A">
        <w:rPr>
          <w:rFonts w:eastAsia="Times New Roman"/>
          <w:lang w:val="en-US" w:eastAsia="hu-HU"/>
        </w:rPr>
        <w:t>where</w:t>
      </w:r>
      <w:proofErr w:type="gramEnd"/>
      <w:r w:rsidRPr="0027506A">
        <w:rPr>
          <w:rFonts w:eastAsia="Times New Roman"/>
          <w:lang w:val="en-US" w:eastAsia="hu-HU"/>
        </w:rPr>
        <w:t xml:space="preserve"> </w:t>
      </w:r>
      <w:proofErr w:type="spellStart"/>
      <w:r w:rsidRPr="0027506A">
        <w:rPr>
          <w:rFonts w:eastAsia="Times New Roman"/>
          <w:lang w:val="en-US" w:eastAsia="hu-HU"/>
        </w:rPr>
        <w:t>i</w:t>
      </w:r>
      <w:proofErr w:type="spellEnd"/>
      <w:r w:rsidRPr="0027506A">
        <w:rPr>
          <w:rFonts w:eastAsia="Times New Roman"/>
          <w:lang w:val="en-US" w:eastAsia="hu-HU"/>
        </w:rPr>
        <w:t xml:space="preserve"> = 1, 2,……n = the number of countries</w:t>
      </w:r>
    </w:p>
    <w:p w:rsidR="00FB0884" w:rsidRPr="0027506A" w:rsidRDefault="00FB0884" w:rsidP="00FB0884">
      <w:pPr>
        <w:spacing w:line="240" w:lineRule="auto"/>
        <w:ind w:left="567"/>
        <w:rPr>
          <w:rFonts w:eastAsia="Times New Roman"/>
          <w:lang w:val="en-US" w:eastAsia="hu-HU"/>
        </w:rPr>
      </w:pPr>
    </w:p>
    <w:p w:rsidR="00FB0884" w:rsidRPr="00FF6E88" w:rsidRDefault="00FF6E88" w:rsidP="00FB0884">
      <w:pPr>
        <w:pStyle w:val="Heading2"/>
        <w:rPr>
          <w:color w:val="auto"/>
          <w:sz w:val="24"/>
        </w:rPr>
      </w:pPr>
      <w:r w:rsidRPr="00FF6E88">
        <w:rPr>
          <w:color w:val="auto"/>
          <w:sz w:val="24"/>
        </w:rPr>
        <w:t>Appendix 2.3 C</w:t>
      </w:r>
      <w:r w:rsidR="00FB0884" w:rsidRPr="00FF6E88">
        <w:rPr>
          <w:color w:val="auto"/>
          <w:sz w:val="24"/>
        </w:rPr>
        <w:t>alculation of the Individual and Institutional variables scores</w:t>
      </w:r>
      <w:bookmarkEnd w:id="1"/>
      <w:bookmarkEnd w:id="2"/>
    </w:p>
    <w:p w:rsidR="00FB0884" w:rsidRDefault="00FB0884" w:rsidP="00FB0884">
      <w:pPr>
        <w:spacing w:line="240" w:lineRule="auto"/>
        <w:rPr>
          <w:rFonts w:eastAsia="Times New Roman" w:cs="MSTT3140cf031bO58623800"/>
          <w:szCs w:val="37"/>
          <w:lang w:val="hu-HU" w:eastAsia="hu-HU"/>
        </w:rPr>
      </w:pPr>
    </w:p>
    <w:p w:rsidR="00FB0884" w:rsidRPr="00791A41" w:rsidRDefault="00FB0884" w:rsidP="00525E23">
      <w:pPr>
        <w:rPr>
          <w:rFonts w:eastAsia="Times New Roman"/>
          <w:sz w:val="24"/>
          <w:szCs w:val="24"/>
          <w:lang w:val="en-US" w:eastAsia="hu-HU"/>
        </w:rPr>
      </w:pPr>
      <w:r w:rsidRPr="009F1D97">
        <w:rPr>
          <w:sz w:val="24"/>
          <w:szCs w:val="24"/>
        </w:rPr>
        <w:t xml:space="preserve">In the </w:t>
      </w:r>
      <w:r>
        <w:rPr>
          <w:sz w:val="24"/>
          <w:szCs w:val="24"/>
        </w:rPr>
        <w:t>GEDI publication we also provide data about the Individual and Institutional variables scores independently. These scores are calculated the same way as the GEI average pillar scores, repeating points 3-5.</w:t>
      </w:r>
      <w:r w:rsidR="00525E23">
        <w:rPr>
          <w:sz w:val="24"/>
          <w:szCs w:val="24"/>
        </w:rPr>
        <w:t xml:space="preserve"> </w:t>
      </w:r>
      <w:r>
        <w:rPr>
          <w:rFonts w:eastAsia="Times New Roman"/>
          <w:sz w:val="24"/>
          <w:szCs w:val="24"/>
          <w:lang w:val="en-US" w:eastAsia="hu-HU"/>
        </w:rPr>
        <w:t>First, we normalize the variable scores for all the fourteen individual and institutional variables:</w:t>
      </w:r>
    </w:p>
    <w:p w:rsidR="00FB0884" w:rsidRPr="00791A41" w:rsidRDefault="00FB0884" w:rsidP="00FB0884">
      <w:pPr>
        <w:spacing w:line="240" w:lineRule="auto"/>
        <w:ind w:left="567" w:hanging="567"/>
        <w:contextualSpacing/>
        <w:rPr>
          <w:rFonts w:eastAsia="Times New Roman"/>
          <w:sz w:val="24"/>
          <w:szCs w:val="24"/>
          <w:lang w:val="en-US" w:eastAsia="hu-HU"/>
        </w:rPr>
      </w:pPr>
    </w:p>
    <w:p w:rsidR="00FB0884" w:rsidRPr="0027506A" w:rsidRDefault="00FB0884" w:rsidP="00FB0884">
      <w:pPr>
        <w:spacing w:line="240" w:lineRule="auto"/>
        <w:ind w:left="567" w:hanging="567"/>
        <w:jc w:val="center"/>
        <w:rPr>
          <w:rFonts w:eastAsia="Calibri"/>
          <w:lang w:val="en-US" w:eastAsia="hu-HU"/>
        </w:rPr>
      </w:pPr>
      <m:oMath>
        <m:sSub>
          <m:sSubPr>
            <m:ctrlPr>
              <w:rPr>
                <w:rFonts w:ascii="Cambria Math" w:eastAsia="Times New Roman" w:hAnsi="Cambria Math"/>
                <w:i/>
                <w:lang w:val="en-US" w:eastAsia="hu-HU"/>
              </w:rPr>
            </m:ctrlPr>
          </m:sSubPr>
          <m:e>
            <m:r>
              <w:rPr>
                <w:rFonts w:ascii="Cambria Math" w:eastAsia="Times New Roman" w:hAnsi="Cambria Math"/>
                <w:lang w:val="en-US" w:eastAsia="hu-HU"/>
              </w:rPr>
              <m:t>IND(norm)</m:t>
            </m:r>
          </m:e>
          <m:sub>
            <m:r>
              <w:rPr>
                <w:rFonts w:ascii="Cambria Math" w:eastAsia="Times New Roman" w:hAnsi="Cambria Math"/>
                <w:lang w:val="en-US" w:eastAsia="hu-HU"/>
              </w:rPr>
              <m:t>i,j</m:t>
            </m:r>
          </m:sub>
        </m:sSub>
        <m:r>
          <w:rPr>
            <w:rFonts w:ascii="Cambria Math" w:eastAsia="Times New Roman" w:hAnsi="Cambria Math"/>
            <w:lang w:val="en-US" w:eastAsia="hu-HU"/>
          </w:rPr>
          <m:t>=</m:t>
        </m:r>
        <m:f>
          <m:fPr>
            <m:ctrlPr>
              <w:rPr>
                <w:rFonts w:ascii="Cambria Math" w:eastAsia="Times New Roman" w:hAnsi="Cambria Math"/>
                <w:i/>
                <w:lang w:val="en-US" w:eastAsia="hu-HU"/>
              </w:rPr>
            </m:ctrlPr>
          </m:fPr>
          <m:num>
            <m:sSub>
              <m:sSubPr>
                <m:ctrlPr>
                  <w:rPr>
                    <w:rFonts w:ascii="Cambria Math" w:eastAsia="Times New Roman" w:hAnsi="Cambria Math"/>
                    <w:i/>
                    <w:lang w:val="en-US" w:eastAsia="hu-HU"/>
                  </w:rPr>
                </m:ctrlPr>
              </m:sSubPr>
              <m:e>
                <m:r>
                  <w:rPr>
                    <w:rFonts w:ascii="Cambria Math" w:eastAsia="Times New Roman" w:hAnsi="Cambria Math"/>
                    <w:lang w:val="en-US" w:eastAsia="hu-HU"/>
                  </w:rPr>
                  <m:t>IND</m:t>
                </m:r>
              </m:e>
              <m:sub>
                <m:r>
                  <w:rPr>
                    <w:rFonts w:ascii="Cambria Math" w:eastAsia="Times New Roman" w:hAnsi="Cambria Math"/>
                    <w:lang w:val="en-US" w:eastAsia="hu-HU"/>
                  </w:rPr>
                  <m:t>i,j</m:t>
                </m:r>
              </m:sub>
            </m:sSub>
          </m:num>
          <m:den>
            <m:func>
              <m:funcPr>
                <m:ctrlPr>
                  <w:rPr>
                    <w:rFonts w:ascii="Cambria Math" w:eastAsia="Times New Roman" w:hAnsi="Cambria Math"/>
                    <w:i/>
                    <w:lang w:val="en-US" w:eastAsia="hu-HU"/>
                  </w:rPr>
                </m:ctrlPr>
              </m:funcPr>
              <m:fName>
                <m:r>
                  <m:rPr>
                    <m:sty m:val="p"/>
                  </m:rPr>
                  <w:rPr>
                    <w:rFonts w:ascii="Cambria Math" w:eastAsia="Times New Roman" w:hAnsi="Cambria Math"/>
                    <w:lang w:val="en-US" w:eastAsia="hu-HU"/>
                  </w:rPr>
                  <m:t>max</m:t>
                </m:r>
              </m:fName>
              <m:e>
                <m:sSub>
                  <m:sSubPr>
                    <m:ctrlPr>
                      <w:rPr>
                        <w:rFonts w:ascii="Cambria Math" w:eastAsia="Times New Roman" w:hAnsi="Cambria Math"/>
                        <w:i/>
                        <w:lang w:val="en-US" w:eastAsia="hu-HU"/>
                      </w:rPr>
                    </m:ctrlPr>
                  </m:sSubPr>
                  <m:e>
                    <m:r>
                      <w:rPr>
                        <w:rFonts w:ascii="Cambria Math" w:eastAsia="Times New Roman" w:hAnsi="Cambria Math"/>
                        <w:lang w:val="en-US" w:eastAsia="hu-HU"/>
                      </w:rPr>
                      <m:t>IND</m:t>
                    </m:r>
                  </m:e>
                  <m:sub>
                    <m:r>
                      <w:rPr>
                        <w:rFonts w:ascii="Cambria Math" w:eastAsia="Times New Roman" w:hAnsi="Cambria Math"/>
                        <w:lang w:val="en-US" w:eastAsia="hu-HU"/>
                      </w:rPr>
                      <m:t>i,j</m:t>
                    </m:r>
                  </m:sub>
                </m:sSub>
              </m:e>
            </m:func>
          </m:den>
        </m:f>
      </m:oMath>
      <w:r>
        <w:rPr>
          <w:rFonts w:eastAsia="Calibri"/>
          <w:lang w:val="en-US" w:eastAsia="hu-HU"/>
        </w:rPr>
        <w:tab/>
      </w:r>
      <w:r>
        <w:rPr>
          <w:rFonts w:eastAsia="Calibri"/>
          <w:lang w:val="en-US" w:eastAsia="hu-HU"/>
        </w:rPr>
        <w:tab/>
      </w:r>
      <w:r>
        <w:rPr>
          <w:rFonts w:eastAsia="Calibri"/>
          <w:lang w:val="en-US" w:eastAsia="hu-HU"/>
        </w:rPr>
        <w:tab/>
        <w:t>(12a</w:t>
      </w:r>
      <w:r w:rsidRPr="0027506A">
        <w:rPr>
          <w:rFonts w:eastAsia="Calibri"/>
          <w:lang w:val="en-US" w:eastAsia="hu-HU"/>
        </w:rPr>
        <w:t>)</w:t>
      </w:r>
    </w:p>
    <w:p w:rsidR="00FB0884" w:rsidRPr="00791A41" w:rsidRDefault="00FB0884" w:rsidP="00FB0884">
      <w:pPr>
        <w:spacing w:line="240" w:lineRule="auto"/>
        <w:ind w:left="567" w:hanging="567"/>
        <w:rPr>
          <w:rFonts w:eastAsia="Times New Roman"/>
          <w:sz w:val="24"/>
          <w:szCs w:val="24"/>
          <w:lang w:val="en-US" w:eastAsia="hu-HU"/>
        </w:rPr>
      </w:pPr>
    </w:p>
    <w:p w:rsidR="00FB0884" w:rsidRPr="0027506A" w:rsidRDefault="00FB0884" w:rsidP="00FB0884">
      <w:pPr>
        <w:spacing w:line="240" w:lineRule="auto"/>
        <w:ind w:left="567" w:hanging="567"/>
        <w:jc w:val="center"/>
        <w:rPr>
          <w:rFonts w:eastAsia="Calibri"/>
          <w:lang w:val="en-US" w:eastAsia="hu-HU"/>
        </w:rPr>
      </w:pPr>
      <m:oMath>
        <m:sSub>
          <m:sSubPr>
            <m:ctrlPr>
              <w:rPr>
                <w:rFonts w:ascii="Cambria Math" w:eastAsia="Times New Roman" w:hAnsi="Cambria Math"/>
                <w:i/>
                <w:lang w:val="en-US" w:eastAsia="hu-HU"/>
              </w:rPr>
            </m:ctrlPr>
          </m:sSubPr>
          <m:e>
            <m:r>
              <w:rPr>
                <w:rFonts w:ascii="Cambria Math" w:eastAsia="Times New Roman" w:hAnsi="Cambria Math"/>
                <w:lang w:val="en-US" w:eastAsia="hu-HU"/>
              </w:rPr>
              <m:t>INS(norm)</m:t>
            </m:r>
          </m:e>
          <m:sub>
            <m:r>
              <w:rPr>
                <w:rFonts w:ascii="Cambria Math" w:eastAsia="Times New Roman" w:hAnsi="Cambria Math"/>
                <w:lang w:val="en-US" w:eastAsia="hu-HU"/>
              </w:rPr>
              <m:t>i,j</m:t>
            </m:r>
          </m:sub>
        </m:sSub>
        <m:r>
          <w:rPr>
            <w:rFonts w:ascii="Cambria Math" w:eastAsia="Times New Roman" w:hAnsi="Cambria Math"/>
            <w:lang w:val="en-US" w:eastAsia="hu-HU"/>
          </w:rPr>
          <m:t>=</m:t>
        </m:r>
        <m:f>
          <m:fPr>
            <m:ctrlPr>
              <w:rPr>
                <w:rFonts w:ascii="Cambria Math" w:eastAsia="Times New Roman" w:hAnsi="Cambria Math"/>
                <w:i/>
                <w:lang w:val="en-US" w:eastAsia="hu-HU"/>
              </w:rPr>
            </m:ctrlPr>
          </m:fPr>
          <m:num>
            <m:sSub>
              <m:sSubPr>
                <m:ctrlPr>
                  <w:rPr>
                    <w:rFonts w:ascii="Cambria Math" w:eastAsia="Times New Roman" w:hAnsi="Cambria Math"/>
                    <w:i/>
                    <w:lang w:val="en-US" w:eastAsia="hu-HU"/>
                  </w:rPr>
                </m:ctrlPr>
              </m:sSubPr>
              <m:e>
                <m:r>
                  <w:rPr>
                    <w:rFonts w:ascii="Cambria Math" w:eastAsia="Times New Roman" w:hAnsi="Cambria Math"/>
                    <w:lang w:val="en-US" w:eastAsia="hu-HU"/>
                  </w:rPr>
                  <m:t>INS</m:t>
                </m:r>
              </m:e>
              <m:sub>
                <m:r>
                  <w:rPr>
                    <w:rFonts w:ascii="Cambria Math" w:eastAsia="Times New Roman" w:hAnsi="Cambria Math"/>
                    <w:lang w:val="en-US" w:eastAsia="hu-HU"/>
                  </w:rPr>
                  <m:t>i,j</m:t>
                </m:r>
              </m:sub>
            </m:sSub>
          </m:num>
          <m:den>
            <m:func>
              <m:funcPr>
                <m:ctrlPr>
                  <w:rPr>
                    <w:rFonts w:ascii="Cambria Math" w:eastAsia="Times New Roman" w:hAnsi="Cambria Math"/>
                    <w:i/>
                    <w:lang w:val="en-US" w:eastAsia="hu-HU"/>
                  </w:rPr>
                </m:ctrlPr>
              </m:funcPr>
              <m:fName>
                <m:r>
                  <m:rPr>
                    <m:sty m:val="p"/>
                  </m:rPr>
                  <w:rPr>
                    <w:rFonts w:ascii="Cambria Math" w:eastAsia="Times New Roman" w:hAnsi="Cambria Math"/>
                    <w:lang w:val="en-US" w:eastAsia="hu-HU"/>
                  </w:rPr>
                  <m:t>max</m:t>
                </m:r>
              </m:fName>
              <m:e>
                <m:sSub>
                  <m:sSubPr>
                    <m:ctrlPr>
                      <w:rPr>
                        <w:rFonts w:ascii="Cambria Math" w:eastAsia="Times New Roman" w:hAnsi="Cambria Math"/>
                        <w:i/>
                        <w:lang w:val="en-US" w:eastAsia="hu-HU"/>
                      </w:rPr>
                    </m:ctrlPr>
                  </m:sSubPr>
                  <m:e>
                    <m:r>
                      <w:rPr>
                        <w:rFonts w:ascii="Cambria Math" w:eastAsia="Times New Roman" w:hAnsi="Cambria Math"/>
                        <w:lang w:val="en-US" w:eastAsia="hu-HU"/>
                      </w:rPr>
                      <m:t>INS</m:t>
                    </m:r>
                  </m:e>
                  <m:sub>
                    <m:r>
                      <w:rPr>
                        <w:rFonts w:ascii="Cambria Math" w:eastAsia="Times New Roman" w:hAnsi="Cambria Math"/>
                        <w:lang w:val="en-US" w:eastAsia="hu-HU"/>
                      </w:rPr>
                      <m:t>i,j</m:t>
                    </m:r>
                  </m:sub>
                </m:sSub>
              </m:e>
            </m:func>
          </m:den>
        </m:f>
      </m:oMath>
      <w:r>
        <w:rPr>
          <w:rFonts w:eastAsia="Calibri"/>
          <w:lang w:val="en-US" w:eastAsia="hu-HU"/>
        </w:rPr>
        <w:tab/>
      </w:r>
      <w:r>
        <w:rPr>
          <w:rFonts w:eastAsia="Calibri"/>
          <w:lang w:val="en-US" w:eastAsia="hu-HU"/>
        </w:rPr>
        <w:tab/>
      </w:r>
      <w:r>
        <w:rPr>
          <w:rFonts w:eastAsia="Calibri"/>
          <w:lang w:val="en-US" w:eastAsia="hu-HU"/>
        </w:rPr>
        <w:tab/>
      </w:r>
      <w:r>
        <w:rPr>
          <w:rFonts w:eastAsia="Calibri"/>
          <w:lang w:val="en-US" w:eastAsia="hu-HU"/>
        </w:rPr>
        <w:tab/>
        <w:t>(12B</w:t>
      </w:r>
      <w:r w:rsidRPr="0027506A">
        <w:rPr>
          <w:rFonts w:eastAsia="Calibri"/>
          <w:lang w:val="en-US" w:eastAsia="hu-HU"/>
        </w:rPr>
        <w:t>)</w:t>
      </w:r>
    </w:p>
    <w:p w:rsidR="00FB0884" w:rsidRPr="00791A41" w:rsidRDefault="00FB0884" w:rsidP="00FB0884">
      <w:pPr>
        <w:spacing w:line="240" w:lineRule="auto"/>
        <w:ind w:left="1134" w:hanging="567"/>
        <w:rPr>
          <w:rFonts w:eastAsia="Times New Roman" w:cstheme="minorHAnsi"/>
          <w:lang w:val="en-US" w:eastAsia="hu-HU"/>
        </w:rPr>
      </w:pPr>
      <w:proofErr w:type="gramStart"/>
      <w:r w:rsidRPr="00791A41">
        <w:rPr>
          <w:rFonts w:eastAsia="Times New Roman" w:cstheme="minorHAnsi"/>
          <w:lang w:val="en-US" w:eastAsia="hu-HU"/>
        </w:rPr>
        <w:t>for</w:t>
      </w:r>
      <w:proofErr w:type="gramEnd"/>
      <w:r w:rsidRPr="00791A41">
        <w:rPr>
          <w:rFonts w:eastAsia="Times New Roman" w:cstheme="minorHAnsi"/>
          <w:lang w:val="en-US" w:eastAsia="hu-HU"/>
        </w:rPr>
        <w:t xml:space="preserve"> all j</w:t>
      </w:r>
      <w:r>
        <w:rPr>
          <w:rFonts w:eastAsia="Times New Roman" w:cstheme="minorHAnsi"/>
          <w:lang w:val="en-US" w:eastAsia="hu-HU"/>
        </w:rPr>
        <w:t xml:space="preserve"> </w:t>
      </w:r>
      <w:r w:rsidRPr="00791A41">
        <w:rPr>
          <w:rFonts w:eastAsia="Times New Roman" w:cstheme="minorHAnsi"/>
          <w:lang w:val="en-US" w:eastAsia="hu-HU"/>
        </w:rPr>
        <w:t>= 1 ... k, the number of pillars</w:t>
      </w:r>
      <w:r>
        <w:rPr>
          <w:rFonts w:eastAsia="Times New Roman" w:cstheme="minorHAnsi"/>
          <w:lang w:val="en-US" w:eastAsia="hu-HU"/>
        </w:rPr>
        <w:t xml:space="preserve"> (equal to the number of individual and institutional variables)</w:t>
      </w:r>
      <w:r w:rsidRPr="00791A41">
        <w:rPr>
          <w:rFonts w:eastAsia="Times New Roman" w:cstheme="minorHAnsi"/>
          <w:lang w:val="en-US" w:eastAsia="hu-HU"/>
        </w:rPr>
        <w:t xml:space="preserve"> </w:t>
      </w:r>
    </w:p>
    <w:p w:rsidR="00FB0884" w:rsidRDefault="00FB0884" w:rsidP="00FB0884">
      <w:pPr>
        <w:spacing w:line="240" w:lineRule="auto"/>
        <w:ind w:left="1134" w:hanging="567"/>
        <w:rPr>
          <w:rFonts w:eastAsia="Times New Roman" w:cstheme="minorHAnsi"/>
          <w:lang w:val="en-US" w:eastAsia="hu-HU"/>
        </w:rPr>
      </w:pPr>
      <w:proofErr w:type="gramStart"/>
      <w:r w:rsidRPr="00791A41">
        <w:rPr>
          <w:rFonts w:eastAsia="Times New Roman" w:cstheme="minorHAnsi"/>
          <w:lang w:val="en-US" w:eastAsia="hu-HU"/>
        </w:rPr>
        <w:t>where</w:t>
      </w:r>
      <w:proofErr w:type="gramEnd"/>
      <w:r w:rsidRPr="00791A41">
        <w:rPr>
          <w:rFonts w:eastAsia="Times New Roman" w:cstheme="minorHAnsi"/>
          <w:lang w:val="en-US" w:eastAsia="hu-HU"/>
        </w:rPr>
        <w:t xml:space="preserve"> </w:t>
      </w:r>
      <m:oMath>
        <m:sSub>
          <m:sSubPr>
            <m:ctrlPr>
              <w:rPr>
                <w:rFonts w:ascii="Cambria Math" w:eastAsia="Times New Roman" w:hAnsi="Cambria Math" w:cstheme="minorHAnsi"/>
                <w:i/>
                <w:lang w:val="en-US" w:eastAsia="hu-HU"/>
              </w:rPr>
            </m:ctrlPr>
          </m:sSubPr>
          <m:e>
            <m:r>
              <w:rPr>
                <w:rFonts w:ascii="Cambria Math" w:eastAsia="Times New Roman" w:hAnsi="Cambria Math" w:cstheme="minorHAnsi"/>
                <w:lang w:val="en-US" w:eastAsia="hu-HU"/>
              </w:rPr>
              <m:t>IND(norm)</m:t>
            </m:r>
          </m:e>
          <m:sub>
            <m:r>
              <w:rPr>
                <w:rFonts w:ascii="Cambria Math" w:eastAsia="Times New Roman" w:hAnsi="Cambria Math" w:cstheme="minorHAnsi"/>
                <w:lang w:val="en-US" w:eastAsia="hu-HU"/>
              </w:rPr>
              <m:t>i,j</m:t>
            </m:r>
          </m:sub>
        </m:sSub>
      </m:oMath>
      <w:r w:rsidRPr="00791A41">
        <w:rPr>
          <w:rFonts w:eastAsia="Times New Roman" w:cstheme="minorHAnsi"/>
          <w:lang w:val="en-US" w:eastAsia="hu-HU"/>
        </w:rPr>
        <w:t xml:space="preserve"> is the normalized</w:t>
      </w:r>
      <w:r>
        <w:rPr>
          <w:rFonts w:eastAsia="Times New Roman" w:cstheme="minorHAnsi"/>
          <w:lang w:val="en-US" w:eastAsia="hu-HU"/>
        </w:rPr>
        <w:t xml:space="preserve"> INDIVIDUAL</w:t>
      </w:r>
      <w:r w:rsidRPr="00791A41">
        <w:rPr>
          <w:rFonts w:eastAsia="Times New Roman" w:cstheme="minorHAnsi"/>
          <w:lang w:val="en-US" w:eastAsia="hu-HU"/>
        </w:rPr>
        <w:t xml:space="preserve"> score value for</w:t>
      </w:r>
      <w:r>
        <w:rPr>
          <w:rFonts w:eastAsia="Times New Roman" w:cstheme="minorHAnsi"/>
          <w:lang w:val="en-US" w:eastAsia="hu-HU"/>
        </w:rPr>
        <w:t xml:space="preserve"> </w:t>
      </w:r>
      <w:r w:rsidRPr="00791A41">
        <w:rPr>
          <w:rFonts w:eastAsia="Times New Roman" w:cstheme="minorHAnsi"/>
          <w:lang w:val="en-US" w:eastAsia="hu-HU"/>
        </w:rPr>
        <w:t xml:space="preserve">country </w:t>
      </w:r>
      <w:proofErr w:type="spellStart"/>
      <w:r w:rsidRPr="00791A41">
        <w:rPr>
          <w:rFonts w:eastAsia="Times New Roman" w:cstheme="minorHAnsi"/>
          <w:lang w:val="en-US" w:eastAsia="hu-HU"/>
        </w:rPr>
        <w:t>i</w:t>
      </w:r>
      <w:proofErr w:type="spellEnd"/>
      <w:r w:rsidRPr="00791A41">
        <w:rPr>
          <w:rFonts w:eastAsia="Times New Roman" w:cstheme="minorHAnsi"/>
          <w:lang w:val="en-US" w:eastAsia="hu-HU"/>
        </w:rPr>
        <w:t xml:space="preserve"> and pillar j</w:t>
      </w:r>
    </w:p>
    <w:p w:rsidR="00FB0884" w:rsidRPr="00791A41" w:rsidRDefault="00FB0884" w:rsidP="00FB0884">
      <w:pPr>
        <w:spacing w:line="240" w:lineRule="auto"/>
        <w:ind w:left="1134" w:hanging="567"/>
        <w:rPr>
          <w:rFonts w:eastAsia="Times New Roman" w:cstheme="minorHAnsi"/>
          <w:lang w:val="en-US" w:eastAsia="hu-HU"/>
        </w:rPr>
      </w:pPr>
      <w:proofErr w:type="gramStart"/>
      <w:r w:rsidRPr="00791A41">
        <w:rPr>
          <w:rFonts w:eastAsia="Times New Roman" w:cstheme="minorHAnsi"/>
          <w:lang w:val="en-US" w:eastAsia="hu-HU"/>
        </w:rPr>
        <w:t>where</w:t>
      </w:r>
      <w:proofErr w:type="gramEnd"/>
      <w:r w:rsidRPr="00791A41">
        <w:rPr>
          <w:rFonts w:eastAsia="Times New Roman" w:cstheme="minorHAnsi"/>
          <w:lang w:val="en-US" w:eastAsia="hu-HU"/>
        </w:rPr>
        <w:t xml:space="preserve"> </w:t>
      </w:r>
      <m:oMath>
        <m:sSub>
          <m:sSubPr>
            <m:ctrlPr>
              <w:rPr>
                <w:rFonts w:ascii="Cambria Math" w:eastAsia="Times New Roman" w:hAnsi="Cambria Math" w:cstheme="minorHAnsi"/>
                <w:i/>
                <w:lang w:val="en-US" w:eastAsia="hu-HU"/>
              </w:rPr>
            </m:ctrlPr>
          </m:sSubPr>
          <m:e>
            <m:r>
              <w:rPr>
                <w:rFonts w:ascii="Cambria Math" w:eastAsia="Times New Roman" w:hAnsi="Cambria Math" w:cstheme="minorHAnsi"/>
                <w:lang w:val="en-US" w:eastAsia="hu-HU"/>
              </w:rPr>
              <m:t>INS(norm)</m:t>
            </m:r>
          </m:e>
          <m:sub>
            <m:r>
              <w:rPr>
                <w:rFonts w:ascii="Cambria Math" w:eastAsia="Times New Roman" w:hAnsi="Cambria Math" w:cstheme="minorHAnsi"/>
                <w:lang w:val="en-US" w:eastAsia="hu-HU"/>
              </w:rPr>
              <m:t>i,j</m:t>
            </m:r>
          </m:sub>
        </m:sSub>
      </m:oMath>
      <w:r w:rsidRPr="00791A41">
        <w:rPr>
          <w:rFonts w:eastAsia="Times New Roman" w:cstheme="minorHAnsi"/>
          <w:lang w:val="en-US" w:eastAsia="hu-HU"/>
        </w:rPr>
        <w:t xml:space="preserve"> is the normalized</w:t>
      </w:r>
      <w:r>
        <w:rPr>
          <w:rFonts w:eastAsia="Times New Roman" w:cstheme="minorHAnsi"/>
          <w:lang w:val="en-US" w:eastAsia="hu-HU"/>
        </w:rPr>
        <w:t xml:space="preserve"> INSTITUTIONAL</w:t>
      </w:r>
      <w:r w:rsidRPr="00791A41">
        <w:rPr>
          <w:rFonts w:eastAsia="Times New Roman" w:cstheme="minorHAnsi"/>
          <w:lang w:val="en-US" w:eastAsia="hu-HU"/>
        </w:rPr>
        <w:t xml:space="preserve"> score value for</w:t>
      </w:r>
      <w:r>
        <w:rPr>
          <w:rFonts w:eastAsia="Times New Roman" w:cstheme="minorHAnsi"/>
          <w:lang w:val="en-US" w:eastAsia="hu-HU"/>
        </w:rPr>
        <w:t xml:space="preserve"> </w:t>
      </w:r>
      <w:r w:rsidRPr="00791A41">
        <w:rPr>
          <w:rFonts w:eastAsia="Times New Roman" w:cstheme="minorHAnsi"/>
          <w:lang w:val="en-US" w:eastAsia="hu-HU"/>
        </w:rPr>
        <w:t xml:space="preserve">country </w:t>
      </w:r>
      <w:proofErr w:type="spellStart"/>
      <w:r w:rsidRPr="00791A41">
        <w:rPr>
          <w:rFonts w:eastAsia="Times New Roman" w:cstheme="minorHAnsi"/>
          <w:lang w:val="en-US" w:eastAsia="hu-HU"/>
        </w:rPr>
        <w:t>i</w:t>
      </w:r>
      <w:proofErr w:type="spellEnd"/>
      <w:r w:rsidRPr="00791A41">
        <w:rPr>
          <w:rFonts w:eastAsia="Times New Roman" w:cstheme="minorHAnsi"/>
          <w:lang w:val="en-US" w:eastAsia="hu-HU"/>
        </w:rPr>
        <w:t xml:space="preserve"> and pillar j</w:t>
      </w:r>
    </w:p>
    <w:p w:rsidR="00FB0884" w:rsidRPr="00791A41" w:rsidRDefault="00FB0884" w:rsidP="00FB0884">
      <w:pPr>
        <w:spacing w:line="240" w:lineRule="auto"/>
        <w:ind w:left="1134" w:hanging="567"/>
        <w:rPr>
          <w:rFonts w:eastAsia="Times New Roman" w:cstheme="minorHAnsi"/>
          <w:lang w:val="en-US" w:eastAsia="hu-HU"/>
        </w:rPr>
      </w:pPr>
      <m:oMath>
        <m:sSub>
          <m:sSubPr>
            <m:ctrlPr>
              <w:rPr>
                <w:rFonts w:ascii="Cambria Math" w:eastAsia="Times New Roman" w:hAnsi="Cambria Math" w:cstheme="minorHAnsi"/>
                <w:i/>
                <w:lang w:val="en-US" w:eastAsia="hu-HU"/>
              </w:rPr>
            </m:ctrlPr>
          </m:sSubPr>
          <m:e>
            <m:r>
              <w:rPr>
                <w:rFonts w:ascii="Cambria Math" w:eastAsia="Times New Roman" w:hAnsi="Cambria Math" w:cstheme="minorHAnsi"/>
                <w:lang w:val="en-US" w:eastAsia="hu-HU"/>
              </w:rPr>
              <m:t>IND</m:t>
            </m:r>
          </m:e>
          <m:sub>
            <m:r>
              <w:rPr>
                <w:rFonts w:ascii="Cambria Math" w:eastAsia="Times New Roman" w:hAnsi="Cambria Math" w:cstheme="minorHAnsi"/>
                <w:lang w:val="en-US" w:eastAsia="hu-HU"/>
              </w:rPr>
              <m:t>i,j</m:t>
            </m:r>
          </m:sub>
        </m:sSub>
      </m:oMath>
      <w:r w:rsidRPr="00791A41">
        <w:rPr>
          <w:rFonts w:eastAsia="Times New Roman" w:cstheme="minorHAnsi"/>
          <w:lang w:val="en-US" w:eastAsia="hu-HU"/>
        </w:rPr>
        <w:t xml:space="preserve"> </w:t>
      </w:r>
      <w:proofErr w:type="gramStart"/>
      <w:r w:rsidRPr="00791A41">
        <w:rPr>
          <w:rFonts w:eastAsia="Times New Roman" w:cstheme="minorHAnsi"/>
          <w:lang w:val="en-US" w:eastAsia="hu-HU"/>
        </w:rPr>
        <w:t>is</w:t>
      </w:r>
      <w:proofErr w:type="gramEnd"/>
      <w:r w:rsidRPr="00791A41">
        <w:rPr>
          <w:rFonts w:eastAsia="Times New Roman" w:cstheme="minorHAnsi"/>
          <w:lang w:val="en-US" w:eastAsia="hu-HU"/>
        </w:rPr>
        <w:t xml:space="preserve"> the original </w:t>
      </w:r>
      <w:r>
        <w:rPr>
          <w:rFonts w:eastAsia="Times New Roman" w:cstheme="minorHAnsi"/>
          <w:lang w:val="en-US" w:eastAsia="hu-HU"/>
        </w:rPr>
        <w:t>INDIVIDUAL variable</w:t>
      </w:r>
      <w:r w:rsidRPr="00791A41">
        <w:rPr>
          <w:rFonts w:eastAsia="Times New Roman" w:cstheme="minorHAnsi"/>
          <w:lang w:val="en-US" w:eastAsia="hu-HU"/>
        </w:rPr>
        <w:t xml:space="preserve"> value for country </w:t>
      </w:r>
      <w:proofErr w:type="spellStart"/>
      <w:r w:rsidRPr="00791A41">
        <w:rPr>
          <w:rFonts w:eastAsia="Times New Roman" w:cstheme="minorHAnsi"/>
          <w:lang w:val="en-US" w:eastAsia="hu-HU"/>
        </w:rPr>
        <w:t>i</w:t>
      </w:r>
      <w:proofErr w:type="spellEnd"/>
      <w:r w:rsidRPr="00791A41">
        <w:rPr>
          <w:rFonts w:eastAsia="Times New Roman" w:cstheme="minorHAnsi"/>
          <w:lang w:val="en-US" w:eastAsia="hu-HU"/>
        </w:rPr>
        <w:t xml:space="preserve"> and pillar j</w:t>
      </w:r>
    </w:p>
    <w:p w:rsidR="00FB0884" w:rsidRPr="00791A41" w:rsidRDefault="00FB0884" w:rsidP="00FB0884">
      <w:pPr>
        <w:spacing w:line="240" w:lineRule="auto"/>
        <w:ind w:left="1134" w:hanging="567"/>
        <w:rPr>
          <w:rFonts w:eastAsia="Times New Roman" w:cstheme="minorHAnsi"/>
          <w:lang w:val="en-US" w:eastAsia="hu-HU"/>
        </w:rPr>
      </w:pPr>
      <m:oMath>
        <m:sSub>
          <m:sSubPr>
            <m:ctrlPr>
              <w:rPr>
                <w:rFonts w:ascii="Cambria Math" w:eastAsia="Times New Roman" w:hAnsi="Cambria Math" w:cstheme="minorHAnsi"/>
                <w:i/>
                <w:lang w:val="en-US" w:eastAsia="hu-HU"/>
              </w:rPr>
            </m:ctrlPr>
          </m:sSubPr>
          <m:e>
            <m:r>
              <w:rPr>
                <w:rFonts w:ascii="Cambria Math" w:eastAsia="Times New Roman" w:hAnsi="Cambria Math" w:cstheme="minorHAnsi"/>
                <w:lang w:val="en-US" w:eastAsia="hu-HU"/>
              </w:rPr>
              <m:t>INS</m:t>
            </m:r>
          </m:e>
          <m:sub>
            <m:r>
              <w:rPr>
                <w:rFonts w:ascii="Cambria Math" w:eastAsia="Times New Roman" w:hAnsi="Cambria Math" w:cstheme="minorHAnsi"/>
                <w:lang w:val="en-US" w:eastAsia="hu-HU"/>
              </w:rPr>
              <m:t>i,j</m:t>
            </m:r>
          </m:sub>
        </m:sSub>
      </m:oMath>
      <w:r w:rsidRPr="00791A41">
        <w:rPr>
          <w:rFonts w:eastAsia="Times New Roman" w:cstheme="minorHAnsi"/>
          <w:lang w:val="en-US" w:eastAsia="hu-HU"/>
        </w:rPr>
        <w:t xml:space="preserve"> </w:t>
      </w:r>
      <w:proofErr w:type="gramStart"/>
      <w:r w:rsidRPr="00791A41">
        <w:rPr>
          <w:rFonts w:eastAsia="Times New Roman" w:cstheme="minorHAnsi"/>
          <w:lang w:val="en-US" w:eastAsia="hu-HU"/>
        </w:rPr>
        <w:t>is</w:t>
      </w:r>
      <w:proofErr w:type="gramEnd"/>
      <w:r w:rsidRPr="00791A41">
        <w:rPr>
          <w:rFonts w:eastAsia="Times New Roman" w:cstheme="minorHAnsi"/>
          <w:lang w:val="en-US" w:eastAsia="hu-HU"/>
        </w:rPr>
        <w:t xml:space="preserve"> the original </w:t>
      </w:r>
      <w:r>
        <w:rPr>
          <w:rFonts w:eastAsia="Times New Roman" w:cstheme="minorHAnsi"/>
          <w:lang w:val="en-US" w:eastAsia="hu-HU"/>
        </w:rPr>
        <w:t>INSTITUTIONAL variable</w:t>
      </w:r>
      <w:r w:rsidRPr="00791A41">
        <w:rPr>
          <w:rFonts w:eastAsia="Times New Roman" w:cstheme="minorHAnsi"/>
          <w:lang w:val="en-US" w:eastAsia="hu-HU"/>
        </w:rPr>
        <w:t xml:space="preserve"> value for country </w:t>
      </w:r>
      <w:proofErr w:type="spellStart"/>
      <w:r w:rsidRPr="00791A41">
        <w:rPr>
          <w:rFonts w:eastAsia="Times New Roman" w:cstheme="minorHAnsi"/>
          <w:lang w:val="en-US" w:eastAsia="hu-HU"/>
        </w:rPr>
        <w:t>i</w:t>
      </w:r>
      <w:proofErr w:type="spellEnd"/>
      <w:r w:rsidRPr="00791A41">
        <w:rPr>
          <w:rFonts w:eastAsia="Times New Roman" w:cstheme="minorHAnsi"/>
          <w:lang w:val="en-US" w:eastAsia="hu-HU"/>
        </w:rPr>
        <w:t xml:space="preserve"> and pillar j</w:t>
      </w:r>
    </w:p>
    <w:p w:rsidR="00FB0884" w:rsidRDefault="00FB0884" w:rsidP="00FB0884">
      <w:pPr>
        <w:spacing w:line="240" w:lineRule="auto"/>
        <w:ind w:left="1134" w:hanging="567"/>
        <w:rPr>
          <w:rFonts w:eastAsia="Times New Roman" w:cstheme="minorHAnsi"/>
          <w:lang w:val="en-US" w:eastAsia="hu-HU"/>
        </w:rPr>
      </w:pPr>
      <m:oMath>
        <m:r>
          <w:rPr>
            <w:rFonts w:ascii="Cambria Math" w:eastAsia="Times New Roman" w:hAnsi="Cambria Math" w:cstheme="minorHAnsi"/>
            <w:lang w:val="en-US" w:eastAsia="hu-HU"/>
          </w:rPr>
          <m:t>max</m:t>
        </m:r>
        <m:sSub>
          <m:sSubPr>
            <m:ctrlPr>
              <w:rPr>
                <w:rFonts w:ascii="Cambria Math" w:eastAsia="Times New Roman" w:hAnsi="Cambria Math" w:cstheme="minorHAnsi"/>
                <w:i/>
                <w:lang w:val="en-US" w:eastAsia="hu-HU"/>
              </w:rPr>
            </m:ctrlPr>
          </m:sSubPr>
          <m:e>
            <m:r>
              <w:rPr>
                <w:rFonts w:ascii="Cambria Math" w:eastAsia="Times New Roman" w:hAnsi="Cambria Math" w:cstheme="minorHAnsi"/>
                <w:lang w:val="en-US" w:eastAsia="hu-HU"/>
              </w:rPr>
              <m:t xml:space="preserve"> IND</m:t>
            </m:r>
          </m:e>
          <m:sub>
            <m:r>
              <w:rPr>
                <w:rFonts w:ascii="Cambria Math" w:eastAsia="Times New Roman" w:hAnsi="Cambria Math" w:cstheme="minorHAnsi"/>
                <w:lang w:val="en-US" w:eastAsia="hu-HU"/>
              </w:rPr>
              <m:t>i,j</m:t>
            </m:r>
          </m:sub>
        </m:sSub>
      </m:oMath>
      <w:r w:rsidRPr="00791A41">
        <w:rPr>
          <w:rFonts w:eastAsia="Times New Roman" w:cstheme="minorHAnsi"/>
          <w:lang w:val="en-US" w:eastAsia="hu-HU"/>
        </w:rPr>
        <w:t xml:space="preserve"> </w:t>
      </w:r>
      <w:proofErr w:type="gramStart"/>
      <w:r w:rsidRPr="00791A41">
        <w:rPr>
          <w:rFonts w:eastAsia="Times New Roman" w:cstheme="minorHAnsi"/>
          <w:lang w:val="en-US" w:eastAsia="hu-HU"/>
        </w:rPr>
        <w:t>is</w:t>
      </w:r>
      <w:proofErr w:type="gramEnd"/>
      <w:r w:rsidRPr="00791A41">
        <w:rPr>
          <w:rFonts w:eastAsia="Times New Roman" w:cstheme="minorHAnsi"/>
          <w:lang w:val="en-US" w:eastAsia="hu-HU"/>
        </w:rPr>
        <w:t xml:space="preserve"> the maximum value for</w:t>
      </w:r>
      <w:r>
        <w:rPr>
          <w:rFonts w:eastAsia="Times New Roman" w:cstheme="minorHAnsi"/>
          <w:lang w:val="en-US" w:eastAsia="hu-HU"/>
        </w:rPr>
        <w:t xml:space="preserve"> INDIVIDUAL variable value in the case of</w:t>
      </w:r>
      <w:r w:rsidRPr="00791A41">
        <w:rPr>
          <w:rFonts w:eastAsia="Times New Roman" w:cstheme="minorHAnsi"/>
          <w:lang w:val="en-US" w:eastAsia="hu-HU"/>
        </w:rPr>
        <w:t xml:space="preserve"> pillar j</w:t>
      </w:r>
    </w:p>
    <w:p w:rsidR="00FB0884" w:rsidRPr="00791A41" w:rsidRDefault="00FB0884" w:rsidP="00FB0884">
      <w:pPr>
        <w:spacing w:line="240" w:lineRule="auto"/>
        <w:ind w:left="1134" w:hanging="567"/>
        <w:rPr>
          <w:rFonts w:eastAsia="Times New Roman" w:cstheme="minorHAnsi"/>
          <w:lang w:val="en-US" w:eastAsia="hu-HU"/>
        </w:rPr>
      </w:pPr>
      <m:oMath>
        <m:r>
          <w:rPr>
            <w:rFonts w:ascii="Cambria Math" w:eastAsia="Times New Roman" w:hAnsi="Cambria Math" w:cstheme="minorHAnsi"/>
            <w:lang w:val="en-US" w:eastAsia="hu-HU"/>
          </w:rPr>
          <m:t>max</m:t>
        </m:r>
        <m:sSub>
          <m:sSubPr>
            <m:ctrlPr>
              <w:rPr>
                <w:rFonts w:ascii="Cambria Math" w:eastAsia="Times New Roman" w:hAnsi="Cambria Math" w:cstheme="minorHAnsi"/>
                <w:i/>
                <w:lang w:val="en-US" w:eastAsia="hu-HU"/>
              </w:rPr>
            </m:ctrlPr>
          </m:sSubPr>
          <m:e>
            <m:r>
              <w:rPr>
                <w:rFonts w:ascii="Cambria Math" w:eastAsia="Times New Roman" w:hAnsi="Cambria Math" w:cstheme="minorHAnsi"/>
                <w:lang w:val="en-US" w:eastAsia="hu-HU"/>
              </w:rPr>
              <m:t xml:space="preserve"> INS</m:t>
            </m:r>
          </m:e>
          <m:sub>
            <m:r>
              <w:rPr>
                <w:rFonts w:ascii="Cambria Math" w:eastAsia="Times New Roman" w:hAnsi="Cambria Math" w:cstheme="minorHAnsi"/>
                <w:lang w:val="en-US" w:eastAsia="hu-HU"/>
              </w:rPr>
              <m:t>i,j</m:t>
            </m:r>
          </m:sub>
        </m:sSub>
      </m:oMath>
      <w:r w:rsidRPr="00791A41">
        <w:rPr>
          <w:rFonts w:eastAsia="Times New Roman" w:cstheme="minorHAnsi"/>
          <w:lang w:val="en-US" w:eastAsia="hu-HU"/>
        </w:rPr>
        <w:t xml:space="preserve"> </w:t>
      </w:r>
      <w:proofErr w:type="gramStart"/>
      <w:r w:rsidRPr="00791A41">
        <w:rPr>
          <w:rFonts w:eastAsia="Times New Roman" w:cstheme="minorHAnsi"/>
          <w:lang w:val="en-US" w:eastAsia="hu-HU"/>
        </w:rPr>
        <w:t>is</w:t>
      </w:r>
      <w:proofErr w:type="gramEnd"/>
      <w:r w:rsidRPr="00791A41">
        <w:rPr>
          <w:rFonts w:eastAsia="Times New Roman" w:cstheme="minorHAnsi"/>
          <w:lang w:val="en-US" w:eastAsia="hu-HU"/>
        </w:rPr>
        <w:t xml:space="preserve"> the maximum value for</w:t>
      </w:r>
      <w:r>
        <w:rPr>
          <w:rFonts w:eastAsia="Times New Roman" w:cstheme="minorHAnsi"/>
          <w:lang w:val="en-US" w:eastAsia="hu-HU"/>
        </w:rPr>
        <w:t xml:space="preserve"> INDSTITUTIONAL variable value in the case of</w:t>
      </w:r>
      <w:r w:rsidRPr="00791A41">
        <w:rPr>
          <w:rFonts w:eastAsia="Times New Roman" w:cstheme="minorHAnsi"/>
          <w:lang w:val="en-US" w:eastAsia="hu-HU"/>
        </w:rPr>
        <w:t xml:space="preserve"> pillar j</w:t>
      </w:r>
    </w:p>
    <w:p w:rsidR="00FB0884" w:rsidRDefault="00FB0884" w:rsidP="00FB0884">
      <w:pPr>
        <w:spacing w:line="240" w:lineRule="auto"/>
        <w:contextualSpacing/>
        <w:rPr>
          <w:rFonts w:eastAsia="Times New Roman"/>
          <w:sz w:val="24"/>
          <w:szCs w:val="24"/>
          <w:lang w:val="en-US" w:eastAsia="hu-HU"/>
        </w:rPr>
      </w:pPr>
      <w:r>
        <w:rPr>
          <w:rFonts w:eastAsia="Times New Roman"/>
          <w:sz w:val="24"/>
          <w:szCs w:val="24"/>
          <w:lang w:val="en-US" w:eastAsia="hu-HU"/>
        </w:rPr>
        <w:t xml:space="preserve">Second, we </w:t>
      </w:r>
      <w:proofErr w:type="spellStart"/>
      <w:r>
        <w:rPr>
          <w:rFonts w:eastAsia="Times New Roman"/>
          <w:sz w:val="24"/>
          <w:szCs w:val="24"/>
          <w:lang w:val="en-US" w:eastAsia="hu-HU"/>
        </w:rPr>
        <w:t>cap</w:t>
      </w:r>
      <w:proofErr w:type="spellEnd"/>
      <w:r w:rsidRPr="00DF4CD5">
        <w:rPr>
          <w:rFonts w:eastAsia="Times New Roman"/>
          <w:sz w:val="24"/>
          <w:szCs w:val="24"/>
          <w:lang w:val="en-US" w:eastAsia="hu-HU"/>
        </w:rPr>
        <w:t xml:space="preserve"> </w:t>
      </w:r>
      <w:r>
        <w:rPr>
          <w:rFonts w:eastAsia="Times New Roman"/>
          <w:sz w:val="24"/>
          <w:szCs w:val="24"/>
          <w:lang w:val="en-US" w:eastAsia="hu-HU"/>
        </w:rPr>
        <w:t>all the normalized individual and institutional variables</w:t>
      </w:r>
      <w:r w:rsidRPr="00DF4CD5">
        <w:rPr>
          <w:rFonts w:eastAsia="Times New Roman"/>
          <w:sz w:val="24"/>
          <w:szCs w:val="24"/>
          <w:lang w:val="en-US" w:eastAsia="hu-HU"/>
        </w:rPr>
        <w:t xml:space="preserve">. </w:t>
      </w:r>
      <w:r>
        <w:rPr>
          <w:rFonts w:eastAsia="Times New Roman"/>
          <w:sz w:val="24"/>
          <w:szCs w:val="24"/>
          <w:lang w:val="en-US" w:eastAsia="hu-HU"/>
        </w:rPr>
        <w:t xml:space="preserve">Similar to the GEI index score calculation we </w:t>
      </w:r>
      <w:r w:rsidRPr="00DF4CD5">
        <w:rPr>
          <w:rFonts w:eastAsia="Times New Roman"/>
          <w:sz w:val="24"/>
          <w:szCs w:val="24"/>
          <w:lang w:val="en-US" w:eastAsia="hu-HU"/>
        </w:rPr>
        <w:t>selected the 95</w:t>
      </w:r>
      <w:r w:rsidRPr="00045D5C">
        <w:rPr>
          <w:rFonts w:eastAsia="Times New Roman"/>
          <w:sz w:val="24"/>
          <w:szCs w:val="24"/>
          <w:vertAlign w:val="superscript"/>
          <w:lang w:val="en-US" w:eastAsia="hu-HU"/>
        </w:rPr>
        <w:t>th</w:t>
      </w:r>
      <w:r>
        <w:rPr>
          <w:rFonts w:eastAsia="Times New Roman"/>
          <w:sz w:val="24"/>
          <w:szCs w:val="24"/>
          <w:lang w:val="en-US" w:eastAsia="hu-HU"/>
        </w:rPr>
        <w:t xml:space="preserve"> </w:t>
      </w:r>
      <w:r w:rsidRPr="00DF4CD5">
        <w:rPr>
          <w:rFonts w:eastAsia="Times New Roman"/>
          <w:sz w:val="24"/>
          <w:szCs w:val="24"/>
          <w:lang w:val="en-US" w:eastAsia="hu-HU"/>
        </w:rPr>
        <w:t>percentile score adjustment</w:t>
      </w:r>
      <w:r>
        <w:rPr>
          <w:rFonts w:eastAsia="Times New Roman"/>
          <w:sz w:val="24"/>
          <w:szCs w:val="24"/>
          <w:lang w:val="en-US" w:eastAsia="hu-HU"/>
        </w:rPr>
        <w:t xml:space="preserve">. </w:t>
      </w:r>
    </w:p>
    <w:p w:rsidR="00FB0884" w:rsidRDefault="00FB0884" w:rsidP="00FB0884">
      <w:pPr>
        <w:spacing w:line="240" w:lineRule="auto"/>
        <w:contextualSpacing/>
        <w:rPr>
          <w:rFonts w:eastAsia="Times New Roman"/>
          <w:sz w:val="24"/>
          <w:szCs w:val="24"/>
          <w:lang w:val="en-US" w:eastAsia="hu-HU"/>
        </w:rPr>
      </w:pPr>
    </w:p>
    <w:p w:rsidR="00FB0884" w:rsidRDefault="00FB0884" w:rsidP="00FB0884">
      <w:pPr>
        <w:spacing w:line="240" w:lineRule="auto"/>
        <w:contextualSpacing/>
        <w:rPr>
          <w:rFonts w:eastAsia="Times New Roman"/>
          <w:sz w:val="24"/>
          <w:szCs w:val="24"/>
          <w:lang w:val="en-US" w:eastAsia="hu-HU"/>
        </w:rPr>
      </w:pPr>
      <w:r>
        <w:rPr>
          <w:rFonts w:eastAsia="Times New Roman"/>
          <w:sz w:val="24"/>
          <w:szCs w:val="24"/>
          <w:lang w:val="en-US" w:eastAsia="hu-HU"/>
        </w:rPr>
        <w:t>Third, we calculate the a</w:t>
      </w:r>
      <w:r w:rsidRPr="00D66EEB">
        <w:rPr>
          <w:rFonts w:eastAsia="Times New Roman"/>
          <w:sz w:val="24"/>
          <w:szCs w:val="24"/>
          <w:lang w:val="en-US" w:eastAsia="hu-HU"/>
        </w:rPr>
        <w:t xml:space="preserve">verage </w:t>
      </w:r>
      <w:r>
        <w:rPr>
          <w:rFonts w:eastAsia="Times New Roman"/>
          <w:sz w:val="24"/>
          <w:szCs w:val="24"/>
          <w:lang w:val="en-US" w:eastAsia="hu-HU"/>
        </w:rPr>
        <w:t xml:space="preserve">adjusted individual and institutional variable </w:t>
      </w:r>
      <w:r w:rsidRPr="00D66EEB">
        <w:rPr>
          <w:rFonts w:eastAsia="Times New Roman"/>
          <w:sz w:val="24"/>
          <w:szCs w:val="24"/>
          <w:lang w:val="en-US" w:eastAsia="hu-HU"/>
        </w:rPr>
        <w:t xml:space="preserve">pillar </w:t>
      </w:r>
      <w:r>
        <w:rPr>
          <w:rFonts w:eastAsia="Times New Roman"/>
          <w:sz w:val="24"/>
          <w:szCs w:val="24"/>
          <w:lang w:val="en-US" w:eastAsia="hu-HU"/>
        </w:rPr>
        <w:t xml:space="preserve">scores to equalize their average values. </w:t>
      </w:r>
      <w:r w:rsidRPr="00DF4CD5">
        <w:rPr>
          <w:rFonts w:eastAsia="Times New Roman"/>
          <w:sz w:val="24"/>
          <w:szCs w:val="24"/>
          <w:lang w:val="en-US" w:eastAsia="hu-HU"/>
        </w:rPr>
        <w:t xml:space="preserve">Equation </w:t>
      </w:r>
      <w:r>
        <w:rPr>
          <w:rFonts w:eastAsia="Times New Roman"/>
          <w:sz w:val="24"/>
          <w:szCs w:val="24"/>
          <w:lang w:val="en-US" w:eastAsia="hu-HU"/>
        </w:rPr>
        <w:t>1</w:t>
      </w:r>
      <w:r w:rsidRPr="00DF4CD5">
        <w:rPr>
          <w:rFonts w:eastAsia="Times New Roman"/>
          <w:sz w:val="24"/>
          <w:szCs w:val="24"/>
          <w:lang w:val="en-US" w:eastAsia="hu-HU"/>
        </w:rPr>
        <w:t>3</w:t>
      </w:r>
      <w:r>
        <w:rPr>
          <w:rFonts w:eastAsia="Times New Roman"/>
          <w:sz w:val="24"/>
          <w:szCs w:val="24"/>
          <w:lang w:val="en-US" w:eastAsia="hu-HU"/>
        </w:rPr>
        <w:t>a and 13b</w:t>
      </w:r>
      <w:r w:rsidRPr="00DF4CD5">
        <w:rPr>
          <w:rFonts w:eastAsia="Times New Roman"/>
          <w:sz w:val="24"/>
          <w:szCs w:val="24"/>
          <w:lang w:val="en-US" w:eastAsia="hu-HU"/>
        </w:rPr>
        <w:t xml:space="preserve"> shows the calculatio</w:t>
      </w:r>
      <w:r>
        <w:rPr>
          <w:rFonts w:eastAsia="Times New Roman"/>
          <w:sz w:val="24"/>
          <w:szCs w:val="24"/>
          <w:lang w:val="en-US" w:eastAsia="hu-HU"/>
        </w:rPr>
        <w:t>n of the average value of the fourteen normalized and capped individual and institutional variables, respectively</w:t>
      </w:r>
      <w:r w:rsidRPr="00DF4CD5">
        <w:rPr>
          <w:rFonts w:eastAsia="Times New Roman"/>
          <w:sz w:val="24"/>
          <w:szCs w:val="24"/>
          <w:lang w:val="en-US" w:eastAsia="hu-HU"/>
        </w:rPr>
        <w:t>:</w:t>
      </w:r>
    </w:p>
    <w:p w:rsidR="00FB0884" w:rsidRDefault="00FB0884" w:rsidP="00FB0884">
      <w:pPr>
        <w:spacing w:line="240" w:lineRule="auto"/>
        <w:contextualSpacing/>
        <w:rPr>
          <w:rFonts w:eastAsia="Times New Roman"/>
          <w:sz w:val="24"/>
          <w:szCs w:val="24"/>
          <w:lang w:val="en-US" w:eastAsia="hu-HU"/>
        </w:rPr>
      </w:pPr>
    </w:p>
    <w:p w:rsidR="00FB0884" w:rsidRPr="0093175E" w:rsidRDefault="00FB0884" w:rsidP="00FB0884">
      <w:pPr>
        <w:spacing w:after="240" w:line="276" w:lineRule="auto"/>
        <w:ind w:left="360"/>
        <w:jc w:val="center"/>
        <w:rPr>
          <w:szCs w:val="24"/>
          <w:lang w:val="en-US"/>
        </w:rPr>
      </w:pPr>
      <m:oMath>
        <m:sSub>
          <m:sSubPr>
            <m:ctrlPr>
              <w:rPr>
                <w:rFonts w:ascii="Cambria Math" w:hAnsi="Cambria Math"/>
                <w:szCs w:val="24"/>
                <w:lang w:val="en-US"/>
              </w:rPr>
            </m:ctrlPr>
          </m:sSubPr>
          <m:e>
            <m:acc>
              <m:accPr>
                <m:chr m:val="̅"/>
                <m:ctrlPr>
                  <w:rPr>
                    <w:rFonts w:ascii="Cambria Math" w:hAnsi="Cambria Math"/>
                    <w:szCs w:val="24"/>
                    <w:lang w:val="en-US"/>
                  </w:rPr>
                </m:ctrlPr>
              </m:accPr>
              <m:e>
                <m:r>
                  <m:rPr>
                    <m:sty m:val="p"/>
                  </m:rPr>
                  <w:rPr>
                    <w:rFonts w:ascii="Cambria Math" w:hAnsi="Cambria Math"/>
                    <w:szCs w:val="24"/>
                    <w:lang w:val="en-US"/>
                  </w:rPr>
                  <m:t>IND</m:t>
                </m:r>
              </m:e>
            </m:acc>
          </m:e>
          <m:sub>
            <m:r>
              <m:rPr>
                <m:sty m:val="p"/>
              </m:rPr>
              <w:rPr>
                <w:rFonts w:ascii="Cambria Math" w:hAnsi="Cambria Math"/>
                <w:szCs w:val="24"/>
                <w:lang w:val="en-US"/>
              </w:rPr>
              <m:t>j</m:t>
            </m:r>
          </m:sub>
        </m:sSub>
        <m:r>
          <m:rPr>
            <m:sty m:val="p"/>
          </m:rPr>
          <w:rPr>
            <w:rFonts w:ascii="Cambria Math" w:hAnsi="Cambria Math"/>
            <w:szCs w:val="24"/>
            <w:lang w:val="en-US"/>
          </w:rPr>
          <m:t>=</m:t>
        </m:r>
        <m:f>
          <m:fPr>
            <m:ctrlPr>
              <w:rPr>
                <w:rFonts w:ascii="Cambria Math" w:hAnsi="Cambria Math"/>
                <w:szCs w:val="24"/>
                <w:lang w:val="en-US"/>
              </w:rPr>
            </m:ctrlPr>
          </m:fPr>
          <m:num>
            <m:sSub>
              <m:sSubPr>
                <m:ctrlPr>
                  <w:rPr>
                    <w:rFonts w:ascii="Cambria Math" w:hAnsi="Cambria Math"/>
                    <w:szCs w:val="24"/>
                    <w:lang w:val="en-US"/>
                  </w:rPr>
                </m:ctrlPr>
              </m:sSubPr>
              <m:e>
                <m:nary>
                  <m:naryPr>
                    <m:chr m:val="∑"/>
                    <m:limLoc m:val="undOvr"/>
                    <m:ctrlPr>
                      <w:rPr>
                        <w:rFonts w:ascii="Cambria Math" w:hAnsi="Cambria Math"/>
                        <w:szCs w:val="24"/>
                        <w:lang w:val="en-US"/>
                      </w:rPr>
                    </m:ctrlPr>
                  </m:naryPr>
                  <m:sub>
                    <m:r>
                      <m:rPr>
                        <m:sty m:val="p"/>
                      </m:rPr>
                      <w:rPr>
                        <w:rFonts w:ascii="Cambria Math" w:hAnsi="Cambria Math"/>
                        <w:szCs w:val="24"/>
                        <w:lang w:val="en-US"/>
                      </w:rPr>
                      <m:t>i=1</m:t>
                    </m:r>
                  </m:sub>
                  <m:sup>
                    <m:r>
                      <m:rPr>
                        <m:sty m:val="p"/>
                      </m:rPr>
                      <w:rPr>
                        <w:rFonts w:ascii="Cambria Math" w:hAnsi="Cambria Math"/>
                        <w:szCs w:val="24"/>
                        <w:lang w:val="en-US"/>
                      </w:rPr>
                      <m:t>n</m:t>
                    </m:r>
                  </m:sup>
                  <m:e>
                    <m:r>
                      <m:rPr>
                        <m:sty m:val="p"/>
                      </m:rPr>
                      <w:rPr>
                        <w:rFonts w:ascii="Cambria Math" w:hAnsi="Cambria Math"/>
                        <w:szCs w:val="24"/>
                        <w:lang w:val="en-US"/>
                      </w:rPr>
                      <m:t>IND(norm)</m:t>
                    </m:r>
                  </m:e>
                </m:nary>
              </m:e>
              <m:sub>
                <m:r>
                  <m:rPr>
                    <m:sty m:val="p"/>
                  </m:rPr>
                  <w:rPr>
                    <w:rFonts w:ascii="Cambria Math" w:hAnsi="Cambria Math"/>
                    <w:szCs w:val="24"/>
                    <w:lang w:val="en-US"/>
                  </w:rPr>
                  <m:t>i,j</m:t>
                </m:r>
              </m:sub>
            </m:sSub>
          </m:num>
          <m:den>
            <m:r>
              <m:rPr>
                <m:sty m:val="p"/>
              </m:rPr>
              <w:rPr>
                <w:rFonts w:ascii="Cambria Math" w:hAnsi="Cambria Math"/>
                <w:szCs w:val="24"/>
                <w:lang w:val="en-US"/>
              </w:rPr>
              <m:t>n</m:t>
            </m:r>
          </m:den>
        </m:f>
        <m:r>
          <m:rPr>
            <m:sty m:val="p"/>
          </m:rPr>
          <w:rPr>
            <w:rFonts w:ascii="Cambria Math" w:hAnsi="Cambria Math"/>
            <w:szCs w:val="24"/>
            <w:lang w:val="en-US"/>
          </w:rPr>
          <m:t>for all j</m:t>
        </m:r>
      </m:oMath>
      <w:r w:rsidRPr="0093175E">
        <w:rPr>
          <w:szCs w:val="24"/>
          <w:lang w:val="en-US"/>
        </w:rPr>
        <w:t xml:space="preserve"> </w:t>
      </w:r>
      <w:r>
        <w:rPr>
          <w:szCs w:val="24"/>
          <w:lang w:val="en-US"/>
        </w:rPr>
        <w:tab/>
        <w:t>(13a</w:t>
      </w:r>
      <w:r w:rsidRPr="0093175E">
        <w:rPr>
          <w:szCs w:val="24"/>
          <w:lang w:val="en-US"/>
        </w:rPr>
        <w:t>)</w:t>
      </w:r>
    </w:p>
    <w:p w:rsidR="00FB0884" w:rsidRDefault="00FB0884" w:rsidP="00FB0884">
      <w:pPr>
        <w:spacing w:line="240" w:lineRule="auto"/>
        <w:contextualSpacing/>
        <w:rPr>
          <w:rFonts w:eastAsia="Times New Roman"/>
          <w:sz w:val="24"/>
          <w:szCs w:val="24"/>
          <w:lang w:val="en-US" w:eastAsia="hu-HU"/>
        </w:rPr>
      </w:pPr>
    </w:p>
    <w:p w:rsidR="00FB0884" w:rsidRPr="0093175E" w:rsidRDefault="00FB0884" w:rsidP="00FB0884">
      <w:pPr>
        <w:spacing w:after="240" w:line="276" w:lineRule="auto"/>
        <w:ind w:left="360"/>
        <w:jc w:val="center"/>
        <w:rPr>
          <w:szCs w:val="24"/>
          <w:lang w:val="en-US"/>
        </w:rPr>
      </w:pPr>
      <m:oMath>
        <m:sSub>
          <m:sSubPr>
            <m:ctrlPr>
              <w:rPr>
                <w:rFonts w:ascii="Cambria Math" w:hAnsi="Cambria Math"/>
                <w:szCs w:val="24"/>
                <w:lang w:val="en-US"/>
              </w:rPr>
            </m:ctrlPr>
          </m:sSubPr>
          <m:e>
            <m:acc>
              <m:accPr>
                <m:chr m:val="̅"/>
                <m:ctrlPr>
                  <w:rPr>
                    <w:rFonts w:ascii="Cambria Math" w:hAnsi="Cambria Math"/>
                    <w:szCs w:val="24"/>
                    <w:lang w:val="en-US"/>
                  </w:rPr>
                </m:ctrlPr>
              </m:accPr>
              <m:e>
                <m:r>
                  <m:rPr>
                    <m:sty m:val="p"/>
                  </m:rPr>
                  <w:rPr>
                    <w:rFonts w:ascii="Cambria Math" w:hAnsi="Cambria Math"/>
                    <w:szCs w:val="24"/>
                    <w:lang w:val="en-US"/>
                  </w:rPr>
                  <m:t>INS</m:t>
                </m:r>
              </m:e>
            </m:acc>
          </m:e>
          <m:sub>
            <m:r>
              <m:rPr>
                <m:sty m:val="p"/>
              </m:rPr>
              <w:rPr>
                <w:rFonts w:ascii="Cambria Math" w:hAnsi="Cambria Math"/>
                <w:szCs w:val="24"/>
                <w:lang w:val="en-US"/>
              </w:rPr>
              <m:t>j</m:t>
            </m:r>
          </m:sub>
        </m:sSub>
        <m:r>
          <m:rPr>
            <m:sty m:val="p"/>
          </m:rPr>
          <w:rPr>
            <w:rFonts w:ascii="Cambria Math" w:hAnsi="Cambria Math"/>
            <w:szCs w:val="24"/>
            <w:lang w:val="en-US"/>
          </w:rPr>
          <m:t>=</m:t>
        </m:r>
        <m:f>
          <m:fPr>
            <m:ctrlPr>
              <w:rPr>
                <w:rFonts w:ascii="Cambria Math" w:hAnsi="Cambria Math"/>
                <w:szCs w:val="24"/>
                <w:lang w:val="en-US"/>
              </w:rPr>
            </m:ctrlPr>
          </m:fPr>
          <m:num>
            <m:sSub>
              <m:sSubPr>
                <m:ctrlPr>
                  <w:rPr>
                    <w:rFonts w:ascii="Cambria Math" w:hAnsi="Cambria Math"/>
                    <w:szCs w:val="24"/>
                    <w:lang w:val="en-US"/>
                  </w:rPr>
                </m:ctrlPr>
              </m:sSubPr>
              <m:e>
                <m:nary>
                  <m:naryPr>
                    <m:chr m:val="∑"/>
                    <m:limLoc m:val="undOvr"/>
                    <m:ctrlPr>
                      <w:rPr>
                        <w:rFonts w:ascii="Cambria Math" w:hAnsi="Cambria Math"/>
                        <w:szCs w:val="24"/>
                        <w:lang w:val="en-US"/>
                      </w:rPr>
                    </m:ctrlPr>
                  </m:naryPr>
                  <m:sub>
                    <m:r>
                      <m:rPr>
                        <m:sty m:val="p"/>
                      </m:rPr>
                      <w:rPr>
                        <w:rFonts w:ascii="Cambria Math" w:hAnsi="Cambria Math"/>
                        <w:szCs w:val="24"/>
                        <w:lang w:val="en-US"/>
                      </w:rPr>
                      <m:t>i=1</m:t>
                    </m:r>
                  </m:sub>
                  <m:sup>
                    <m:r>
                      <m:rPr>
                        <m:sty m:val="p"/>
                      </m:rPr>
                      <w:rPr>
                        <w:rFonts w:ascii="Cambria Math" w:hAnsi="Cambria Math"/>
                        <w:szCs w:val="24"/>
                        <w:lang w:val="en-US"/>
                      </w:rPr>
                      <m:t>n</m:t>
                    </m:r>
                  </m:sup>
                  <m:e>
                    <m:r>
                      <m:rPr>
                        <m:sty m:val="p"/>
                      </m:rPr>
                      <w:rPr>
                        <w:rFonts w:ascii="Cambria Math" w:hAnsi="Cambria Math"/>
                        <w:szCs w:val="24"/>
                        <w:lang w:val="en-US"/>
                      </w:rPr>
                      <m:t>INS(norm)</m:t>
                    </m:r>
                  </m:e>
                </m:nary>
              </m:e>
              <m:sub>
                <m:r>
                  <m:rPr>
                    <m:sty m:val="p"/>
                  </m:rPr>
                  <w:rPr>
                    <w:rFonts w:ascii="Cambria Math" w:hAnsi="Cambria Math"/>
                    <w:szCs w:val="24"/>
                    <w:lang w:val="en-US"/>
                  </w:rPr>
                  <m:t>i,j</m:t>
                </m:r>
              </m:sub>
            </m:sSub>
          </m:num>
          <m:den>
            <m:r>
              <m:rPr>
                <m:sty m:val="p"/>
              </m:rPr>
              <w:rPr>
                <w:rFonts w:ascii="Cambria Math" w:hAnsi="Cambria Math"/>
                <w:szCs w:val="24"/>
                <w:lang w:val="en-US"/>
              </w:rPr>
              <m:t>n</m:t>
            </m:r>
          </m:den>
        </m:f>
        <m:r>
          <m:rPr>
            <m:sty m:val="p"/>
          </m:rPr>
          <w:rPr>
            <w:rFonts w:ascii="Cambria Math" w:hAnsi="Cambria Math"/>
            <w:szCs w:val="24"/>
            <w:lang w:val="en-US"/>
          </w:rPr>
          <m:t>for all j</m:t>
        </m:r>
      </m:oMath>
      <w:r w:rsidRPr="0093175E">
        <w:rPr>
          <w:szCs w:val="24"/>
          <w:lang w:val="en-US"/>
        </w:rPr>
        <w:t xml:space="preserve"> </w:t>
      </w:r>
      <w:r>
        <w:rPr>
          <w:szCs w:val="24"/>
          <w:lang w:val="en-US"/>
        </w:rPr>
        <w:tab/>
        <w:t>(13b</w:t>
      </w:r>
      <w:r w:rsidRPr="0093175E">
        <w:rPr>
          <w:szCs w:val="24"/>
          <w:lang w:val="en-US"/>
        </w:rPr>
        <w:t>)</w:t>
      </w:r>
    </w:p>
    <w:p w:rsidR="00FB0884" w:rsidRPr="0093175E" w:rsidRDefault="00FB0884" w:rsidP="00FB0884">
      <w:pPr>
        <w:spacing w:after="240" w:line="276" w:lineRule="auto"/>
        <w:ind w:left="360"/>
        <w:jc w:val="both"/>
        <w:rPr>
          <w:szCs w:val="24"/>
          <w:lang w:val="en-US"/>
        </w:rPr>
      </w:pPr>
      <w:r w:rsidRPr="0093175E">
        <w:rPr>
          <w:szCs w:val="24"/>
          <w:lang w:val="en-US"/>
        </w:rPr>
        <w:t>We want to transform the</w:t>
      </w:r>
      <w:r>
        <w:rPr>
          <w:szCs w:val="24"/>
          <w:lang w:val="en-US"/>
        </w:rPr>
        <w:t xml:space="preserve"> </w:t>
      </w:r>
      <m:oMath>
        <m:sSub>
          <m:sSubPr>
            <m:ctrlPr>
              <w:rPr>
                <w:rFonts w:ascii="Cambria Math" w:hAnsi="Cambria Math"/>
                <w:i/>
                <w:szCs w:val="24"/>
                <w:lang w:val="en-US"/>
              </w:rPr>
            </m:ctrlPr>
          </m:sSubPr>
          <m:e>
            <m:r>
              <w:rPr>
                <w:rFonts w:ascii="Cambria Math" w:hAnsi="Cambria Math"/>
                <w:szCs w:val="24"/>
                <w:lang w:val="en-US"/>
              </w:rPr>
              <m:t>INS(norm)</m:t>
            </m:r>
          </m:e>
          <m:sub>
            <m:r>
              <w:rPr>
                <w:rFonts w:ascii="Cambria Math" w:hAnsi="Cambria Math"/>
                <w:szCs w:val="24"/>
                <w:lang w:val="en-US"/>
              </w:rPr>
              <m:t>i,j</m:t>
            </m:r>
          </m:sub>
        </m:sSub>
      </m:oMath>
      <w:r>
        <w:rPr>
          <w:szCs w:val="24"/>
          <w:lang w:val="en-US"/>
        </w:rPr>
        <w:t xml:space="preserve"> and the</w:t>
      </w:r>
      <w:r w:rsidRPr="0093175E">
        <w:rPr>
          <w:szCs w:val="24"/>
          <w:lang w:val="en-US"/>
        </w:rPr>
        <w:t xml:space="preserve"> </w:t>
      </w:r>
      <m:oMath>
        <m:sSub>
          <m:sSubPr>
            <m:ctrlPr>
              <w:rPr>
                <w:rFonts w:ascii="Cambria Math" w:hAnsi="Cambria Math"/>
                <w:i/>
                <w:szCs w:val="24"/>
                <w:lang w:val="en-US"/>
              </w:rPr>
            </m:ctrlPr>
          </m:sSubPr>
          <m:e>
            <m:r>
              <w:rPr>
                <w:rFonts w:ascii="Cambria Math" w:hAnsi="Cambria Math"/>
                <w:szCs w:val="24"/>
                <w:lang w:val="en-US"/>
              </w:rPr>
              <m:t>INS(norm)</m:t>
            </m:r>
          </m:e>
          <m:sub>
            <m:r>
              <w:rPr>
                <w:rFonts w:ascii="Cambria Math" w:hAnsi="Cambria Math"/>
                <w:szCs w:val="24"/>
                <w:lang w:val="en-US"/>
              </w:rPr>
              <m:t>i,j</m:t>
            </m:r>
          </m:sub>
        </m:sSub>
      </m:oMath>
      <w:r w:rsidRPr="0093175E">
        <w:rPr>
          <w:szCs w:val="24"/>
          <w:lang w:val="en-US"/>
        </w:rPr>
        <w:t xml:space="preserve"> values such that the potential values to be in the [0</w:t>
      </w:r>
      <w:proofErr w:type="gramStart"/>
      <w:r w:rsidRPr="0093175E">
        <w:rPr>
          <w:szCs w:val="24"/>
          <w:lang w:val="en-US"/>
        </w:rPr>
        <w:t>,1</w:t>
      </w:r>
      <w:proofErr w:type="gramEnd"/>
      <w:r w:rsidRPr="0093175E">
        <w:rPr>
          <w:szCs w:val="24"/>
          <w:lang w:val="en-US"/>
        </w:rPr>
        <w:t xml:space="preserve">] range. </w:t>
      </w:r>
    </w:p>
    <w:p w:rsidR="00FB0884" w:rsidRPr="0093175E" w:rsidRDefault="00FB0884" w:rsidP="00FB0884">
      <w:pPr>
        <w:spacing w:after="240" w:line="276" w:lineRule="auto"/>
        <w:ind w:left="360"/>
        <w:jc w:val="center"/>
        <w:rPr>
          <w:szCs w:val="24"/>
          <w:lang w:val="en-US"/>
        </w:rPr>
      </w:pPr>
      <m:oMath>
        <m:sSub>
          <m:sSubPr>
            <m:ctrlPr>
              <w:rPr>
                <w:rFonts w:ascii="Cambria Math" w:hAnsi="Cambria Math"/>
                <w:i/>
                <w:szCs w:val="24"/>
                <w:lang w:val="en-US"/>
              </w:rPr>
            </m:ctrlPr>
          </m:sSubPr>
          <m:e>
            <m:r>
              <w:rPr>
                <w:rFonts w:ascii="Cambria Math" w:hAnsi="Cambria Math"/>
                <w:szCs w:val="24"/>
                <w:lang w:val="en-US"/>
              </w:rPr>
              <m:t>IND</m:t>
            </m:r>
          </m:e>
          <m:sub>
            <m:r>
              <w:rPr>
                <w:rFonts w:ascii="Cambria Math" w:hAnsi="Cambria Math"/>
                <w:szCs w:val="24"/>
                <w:lang w:val="en-US"/>
              </w:rPr>
              <m:t>i, j</m:t>
            </m:r>
          </m:sub>
        </m:sSub>
        <m:r>
          <w:rPr>
            <w:rFonts w:ascii="Cambria Math" w:hAnsi="Cambria Math"/>
            <w:szCs w:val="24"/>
            <w:lang w:val="en-US"/>
          </w:rPr>
          <m:t>=</m:t>
        </m:r>
        <m:sSubSup>
          <m:sSubSupPr>
            <m:ctrlPr>
              <w:rPr>
                <w:rFonts w:ascii="Cambria Math" w:hAnsi="Cambria Math"/>
                <w:i/>
                <w:szCs w:val="24"/>
                <w:lang w:val="en-US"/>
              </w:rPr>
            </m:ctrlPr>
          </m:sSubSupPr>
          <m:e>
            <m:r>
              <w:rPr>
                <w:rFonts w:ascii="Cambria Math" w:hAnsi="Cambria Math"/>
                <w:szCs w:val="24"/>
                <w:lang w:val="en-US"/>
              </w:rPr>
              <m:t>IND(norm)</m:t>
            </m:r>
          </m:e>
          <m:sub>
            <m:r>
              <w:rPr>
                <w:rFonts w:ascii="Cambria Math" w:hAnsi="Cambria Math"/>
                <w:szCs w:val="24"/>
                <w:lang w:val="en-US"/>
              </w:rPr>
              <m:t>i, j</m:t>
            </m:r>
          </m:sub>
          <m:sup>
            <m:r>
              <w:rPr>
                <w:rFonts w:ascii="Cambria Math" w:hAnsi="Cambria Math"/>
                <w:szCs w:val="24"/>
                <w:lang w:val="en-US"/>
              </w:rPr>
              <m:t>k</m:t>
            </m:r>
          </m:sup>
        </m:sSubSup>
      </m:oMath>
      <w:r w:rsidRPr="0093175E">
        <w:rPr>
          <w:szCs w:val="24"/>
          <w:lang w:val="en-US"/>
        </w:rPr>
        <w:tab/>
      </w:r>
      <w:r w:rsidRPr="0093175E">
        <w:rPr>
          <w:szCs w:val="24"/>
          <w:lang w:val="en-US"/>
        </w:rPr>
        <w:tab/>
      </w:r>
      <w:r w:rsidRPr="0093175E">
        <w:rPr>
          <w:szCs w:val="24"/>
          <w:lang w:val="en-US"/>
        </w:rPr>
        <w:tab/>
      </w:r>
      <w:r>
        <w:rPr>
          <w:szCs w:val="24"/>
          <w:lang w:val="en-US"/>
        </w:rPr>
        <w:t>(14a</w:t>
      </w:r>
      <w:r w:rsidRPr="0093175E">
        <w:rPr>
          <w:szCs w:val="24"/>
          <w:lang w:val="en-US"/>
        </w:rPr>
        <w:t>)</w:t>
      </w:r>
    </w:p>
    <w:p w:rsidR="00FB0884" w:rsidRPr="0093175E" w:rsidRDefault="00FB0884" w:rsidP="00FB0884">
      <w:pPr>
        <w:spacing w:after="240" w:line="276" w:lineRule="auto"/>
        <w:ind w:left="360"/>
        <w:jc w:val="center"/>
        <w:rPr>
          <w:szCs w:val="24"/>
          <w:lang w:val="en-US"/>
        </w:rPr>
      </w:pPr>
      <m:oMath>
        <m:sSub>
          <m:sSubPr>
            <m:ctrlPr>
              <w:rPr>
                <w:rFonts w:ascii="Cambria Math" w:hAnsi="Cambria Math"/>
                <w:i/>
                <w:szCs w:val="24"/>
                <w:lang w:val="en-US"/>
              </w:rPr>
            </m:ctrlPr>
          </m:sSubPr>
          <m:e>
            <m:r>
              <w:rPr>
                <w:rFonts w:ascii="Cambria Math" w:hAnsi="Cambria Math"/>
                <w:szCs w:val="24"/>
                <w:lang w:val="en-US"/>
              </w:rPr>
              <m:t>INS</m:t>
            </m:r>
          </m:e>
          <m:sub>
            <m:r>
              <w:rPr>
                <w:rFonts w:ascii="Cambria Math" w:hAnsi="Cambria Math"/>
                <w:szCs w:val="24"/>
                <w:lang w:val="en-US"/>
              </w:rPr>
              <m:t>i, j</m:t>
            </m:r>
          </m:sub>
        </m:sSub>
        <m:r>
          <w:rPr>
            <w:rFonts w:ascii="Cambria Math" w:hAnsi="Cambria Math"/>
            <w:szCs w:val="24"/>
            <w:lang w:val="en-US"/>
          </w:rPr>
          <m:t>=</m:t>
        </m:r>
        <m:sSubSup>
          <m:sSubSupPr>
            <m:ctrlPr>
              <w:rPr>
                <w:rFonts w:ascii="Cambria Math" w:hAnsi="Cambria Math"/>
                <w:i/>
                <w:szCs w:val="24"/>
                <w:lang w:val="en-US"/>
              </w:rPr>
            </m:ctrlPr>
          </m:sSubSupPr>
          <m:e>
            <m:r>
              <w:rPr>
                <w:rFonts w:ascii="Cambria Math" w:hAnsi="Cambria Math"/>
                <w:szCs w:val="24"/>
                <w:lang w:val="en-US"/>
              </w:rPr>
              <m:t>INS(norm)</m:t>
            </m:r>
          </m:e>
          <m:sub>
            <m:r>
              <w:rPr>
                <w:rFonts w:ascii="Cambria Math" w:hAnsi="Cambria Math"/>
                <w:szCs w:val="24"/>
                <w:lang w:val="en-US"/>
              </w:rPr>
              <m:t>i, j</m:t>
            </m:r>
          </m:sub>
          <m:sup>
            <m:r>
              <w:rPr>
                <w:rFonts w:ascii="Cambria Math" w:hAnsi="Cambria Math"/>
                <w:szCs w:val="24"/>
                <w:lang w:val="en-US"/>
              </w:rPr>
              <m:t>k</m:t>
            </m:r>
          </m:sup>
        </m:sSubSup>
      </m:oMath>
      <w:r w:rsidRPr="0093175E">
        <w:rPr>
          <w:szCs w:val="24"/>
          <w:lang w:val="en-US"/>
        </w:rPr>
        <w:tab/>
      </w:r>
      <w:r w:rsidRPr="0093175E">
        <w:rPr>
          <w:szCs w:val="24"/>
          <w:lang w:val="en-US"/>
        </w:rPr>
        <w:tab/>
      </w:r>
      <w:r w:rsidRPr="0093175E">
        <w:rPr>
          <w:szCs w:val="24"/>
          <w:lang w:val="en-US"/>
        </w:rPr>
        <w:tab/>
      </w:r>
      <w:r>
        <w:rPr>
          <w:szCs w:val="24"/>
          <w:lang w:val="en-US"/>
        </w:rPr>
        <w:t>(14b</w:t>
      </w:r>
      <w:r w:rsidRPr="0093175E">
        <w:rPr>
          <w:szCs w:val="24"/>
          <w:lang w:val="en-US"/>
        </w:rPr>
        <w:t>)</w:t>
      </w:r>
    </w:p>
    <w:p w:rsidR="00FB0884" w:rsidRPr="0093175E" w:rsidRDefault="00FB0884" w:rsidP="00FB0884">
      <w:pPr>
        <w:spacing w:after="240" w:line="276" w:lineRule="auto"/>
        <w:ind w:left="360"/>
        <w:jc w:val="both"/>
        <w:rPr>
          <w:lang w:val="en-US"/>
        </w:rPr>
      </w:pPr>
      <w:proofErr w:type="gramStart"/>
      <w:r w:rsidRPr="0093175E">
        <w:rPr>
          <w:lang w:val="en-US"/>
        </w:rPr>
        <w:t>where</w:t>
      </w:r>
      <w:proofErr w:type="gramEnd"/>
      <w:r w:rsidRPr="0093175E">
        <w:rPr>
          <w:lang w:val="en-US"/>
        </w:rPr>
        <w:t xml:space="preserve"> </w:t>
      </w:r>
      <w:r w:rsidRPr="0093175E">
        <w:rPr>
          <w:rFonts w:ascii="Cambria Math" w:hAnsi="Cambria Math"/>
          <w:lang w:val="en-US"/>
        </w:rPr>
        <w:t>k</w:t>
      </w:r>
      <w:r w:rsidRPr="0093175E">
        <w:rPr>
          <w:lang w:val="en-US"/>
        </w:rPr>
        <w:t xml:space="preserve"> is the “strength of adjustment”, the </w:t>
      </w:r>
      <w:r w:rsidRPr="0093175E">
        <w:rPr>
          <w:rFonts w:ascii="Cambria Math" w:hAnsi="Cambria Math"/>
          <w:lang w:val="en-US"/>
        </w:rPr>
        <w:t>k</w:t>
      </w:r>
      <w:r w:rsidRPr="0093175E">
        <w:rPr>
          <w:lang w:val="en-US"/>
        </w:rPr>
        <w:t>-</w:t>
      </w:r>
      <w:proofErr w:type="spellStart"/>
      <w:r w:rsidRPr="0093175E">
        <w:rPr>
          <w:lang w:val="en-US"/>
        </w:rPr>
        <w:t>th</w:t>
      </w:r>
      <w:proofErr w:type="spellEnd"/>
      <w:r w:rsidRPr="0093175E">
        <w:rPr>
          <w:lang w:val="en-US"/>
        </w:rPr>
        <w:t xml:space="preserve"> moment of </w:t>
      </w:r>
      <m:oMath>
        <m:sSub>
          <m:sSubPr>
            <m:ctrlPr>
              <w:rPr>
                <w:rFonts w:ascii="Cambria Math" w:hAnsi="Cambria Math"/>
                <w:i/>
                <w:lang w:val="en-US"/>
              </w:rPr>
            </m:ctrlPr>
          </m:sSubPr>
          <m:e>
            <m:r>
              <w:rPr>
                <w:rFonts w:ascii="Cambria Math" w:hAnsi="Cambria Math"/>
                <w:lang w:val="en-US"/>
              </w:rPr>
              <m:t>IND</m:t>
            </m:r>
          </m:e>
          <m:sub>
            <m:r>
              <w:rPr>
                <w:rFonts w:ascii="Cambria Math" w:hAnsi="Cambria Math"/>
                <w:lang w:val="en-US"/>
              </w:rPr>
              <m:t>j</m:t>
            </m:r>
          </m:sub>
        </m:sSub>
      </m:oMath>
      <w:r w:rsidRPr="0093175E">
        <w:rPr>
          <w:lang w:val="en-US"/>
        </w:rPr>
        <w:t xml:space="preserve"> </w:t>
      </w:r>
      <w:r>
        <w:rPr>
          <w:lang w:val="en-US"/>
        </w:rPr>
        <w:t xml:space="preserve">and </w:t>
      </w:r>
      <m:oMath>
        <m:sSub>
          <m:sSubPr>
            <m:ctrlPr>
              <w:rPr>
                <w:rFonts w:ascii="Cambria Math" w:hAnsi="Cambria Math"/>
                <w:i/>
                <w:lang w:val="en-US"/>
              </w:rPr>
            </m:ctrlPr>
          </m:sSubPr>
          <m:e>
            <m:r>
              <w:rPr>
                <w:rFonts w:ascii="Cambria Math" w:hAnsi="Cambria Math"/>
                <w:lang w:val="en-US"/>
              </w:rPr>
              <m:t>INS</m:t>
            </m:r>
          </m:e>
          <m:sub>
            <m:r>
              <w:rPr>
                <w:rFonts w:ascii="Cambria Math" w:hAnsi="Cambria Math"/>
                <w:lang w:val="en-US"/>
              </w:rPr>
              <m:t>j</m:t>
            </m:r>
          </m:sub>
        </m:sSub>
      </m:oMath>
      <w:r w:rsidRPr="0093175E">
        <w:rPr>
          <w:lang w:val="en-US"/>
        </w:rPr>
        <w:t xml:space="preserve"> </w:t>
      </w:r>
      <w:r>
        <w:rPr>
          <w:lang w:val="en-US"/>
        </w:rPr>
        <w:t xml:space="preserve">is </w:t>
      </w:r>
      <w:r w:rsidRPr="0093175E">
        <w:rPr>
          <w:lang w:val="en-US"/>
        </w:rPr>
        <w:t xml:space="preserve">exactly the needed average,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IND</m:t>
                </m:r>
              </m:e>
            </m:acc>
          </m:e>
          <m:sub>
            <m:r>
              <w:rPr>
                <w:rFonts w:ascii="Cambria Math" w:hAnsi="Cambria Math"/>
                <w:lang w:val="en-US"/>
              </w:rPr>
              <m:t>j</m:t>
            </m:r>
          </m:sub>
        </m:sSub>
      </m:oMath>
      <w:r>
        <w:rPr>
          <w:lang w:val="en-US"/>
        </w:rPr>
        <w:t xml:space="preserve"> and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INS</m:t>
                </m:r>
              </m:e>
            </m:acc>
          </m:e>
          <m:sub>
            <m:r>
              <w:rPr>
                <w:rFonts w:ascii="Cambria Math" w:hAnsi="Cambria Math"/>
                <w:lang w:val="en-US"/>
              </w:rPr>
              <m:t>j</m:t>
            </m:r>
          </m:sub>
        </m:sSub>
      </m:oMath>
    </w:p>
    <w:p w:rsidR="00FB0884" w:rsidRPr="0093175E" w:rsidRDefault="00FB0884" w:rsidP="00FB0884">
      <w:pPr>
        <w:spacing w:after="240" w:line="276" w:lineRule="auto"/>
        <w:ind w:left="360"/>
        <w:jc w:val="both"/>
        <w:rPr>
          <w:szCs w:val="24"/>
          <w:lang w:val="en-US"/>
        </w:rPr>
      </w:pPr>
      <w:r w:rsidRPr="0093175E">
        <w:rPr>
          <w:szCs w:val="24"/>
          <w:lang w:val="en-US"/>
        </w:rPr>
        <w:t xml:space="preserve">We have to find the root of the following equation for </w:t>
      </w:r>
      <w:r w:rsidRPr="0093175E">
        <w:rPr>
          <w:rFonts w:ascii="Cambria Math" w:hAnsi="Cambria Math"/>
          <w:szCs w:val="24"/>
          <w:lang w:val="en-US"/>
        </w:rPr>
        <w:t>k</w:t>
      </w:r>
      <w:r w:rsidRPr="0093175E">
        <w:rPr>
          <w:szCs w:val="24"/>
          <w:lang w:val="en-US"/>
        </w:rPr>
        <w:t>:</w:t>
      </w:r>
    </w:p>
    <w:p w:rsidR="00FB0884" w:rsidRPr="0093175E" w:rsidRDefault="00FB0884" w:rsidP="00FB0884">
      <w:pPr>
        <w:spacing w:after="240" w:line="276" w:lineRule="auto"/>
        <w:ind w:left="360"/>
        <w:jc w:val="center"/>
        <w:rPr>
          <w:szCs w:val="24"/>
          <w:lang w:val="en-US"/>
        </w:rPr>
      </w:pPr>
      <m:oMath>
        <m:nary>
          <m:naryPr>
            <m:chr m:val="∑"/>
            <m:limLoc m:val="undOvr"/>
            <m:ctrlPr>
              <w:rPr>
                <w:rFonts w:ascii="Cambria Math" w:hAnsi="Cambria Math"/>
                <w:i/>
                <w:szCs w:val="24"/>
                <w:lang w:val="en-US"/>
              </w:rPr>
            </m:ctrlPr>
          </m:naryPr>
          <m:sub>
            <m:r>
              <w:rPr>
                <w:rFonts w:ascii="Cambria Math" w:hAnsi="Cambria Math"/>
                <w:szCs w:val="24"/>
                <w:lang w:val="en-US"/>
              </w:rPr>
              <m:t>i=1</m:t>
            </m:r>
          </m:sub>
          <m:sup>
            <m:r>
              <w:rPr>
                <w:rFonts w:ascii="Cambria Math" w:hAnsi="Cambria Math"/>
                <w:szCs w:val="24"/>
                <w:lang w:val="en-US"/>
              </w:rPr>
              <m:t>n</m:t>
            </m:r>
          </m:sup>
          <m:e>
            <m:sSubSup>
              <m:sSubSupPr>
                <m:ctrlPr>
                  <w:rPr>
                    <w:rFonts w:ascii="Cambria Math" w:hAnsi="Cambria Math"/>
                    <w:i/>
                    <w:szCs w:val="24"/>
                    <w:lang w:val="en-US"/>
                  </w:rPr>
                </m:ctrlPr>
              </m:sSubSupPr>
              <m:e>
                <m:r>
                  <w:rPr>
                    <w:rFonts w:ascii="Cambria Math" w:hAnsi="Cambria Math"/>
                    <w:szCs w:val="24"/>
                    <w:lang w:val="en-US"/>
                  </w:rPr>
                  <m:t>IND</m:t>
                </m:r>
              </m:e>
              <m:sub>
                <m:r>
                  <w:rPr>
                    <w:rFonts w:ascii="Cambria Math" w:hAnsi="Cambria Math"/>
                    <w:szCs w:val="24"/>
                    <w:lang w:val="en-US"/>
                  </w:rPr>
                  <m:t>i,j</m:t>
                </m:r>
              </m:sub>
              <m:sup>
                <m:r>
                  <w:rPr>
                    <w:rFonts w:ascii="Cambria Math" w:hAnsi="Cambria Math"/>
                    <w:szCs w:val="24"/>
                    <w:lang w:val="en-US"/>
                  </w:rPr>
                  <m:t>k</m:t>
                </m:r>
              </m:sup>
            </m:sSubSup>
            <m:r>
              <w:rPr>
                <w:rFonts w:ascii="Cambria Math" w:hAnsi="Cambria Math"/>
                <w:szCs w:val="24"/>
                <w:lang w:val="en-US"/>
              </w:rPr>
              <m:t>-n</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IND</m:t>
                    </m:r>
                  </m:e>
                </m:acc>
              </m:e>
              <m:sub>
                <m:r>
                  <w:rPr>
                    <w:rFonts w:ascii="Cambria Math" w:hAnsi="Cambria Math"/>
                    <w:szCs w:val="24"/>
                    <w:lang w:val="en-US"/>
                  </w:rPr>
                  <m:t>j</m:t>
                </m:r>
              </m:sub>
            </m:sSub>
            <m:r>
              <w:rPr>
                <w:rFonts w:ascii="Cambria Math" w:hAnsi="Cambria Math"/>
                <w:szCs w:val="24"/>
                <w:lang w:val="en-US"/>
              </w:rPr>
              <m:t>=0</m:t>
            </m:r>
          </m:e>
        </m:nary>
      </m:oMath>
      <w:r>
        <w:rPr>
          <w:szCs w:val="24"/>
          <w:lang w:val="en-US"/>
        </w:rPr>
        <w:tab/>
      </w:r>
      <w:r>
        <w:rPr>
          <w:szCs w:val="24"/>
          <w:lang w:val="en-US"/>
        </w:rPr>
        <w:tab/>
        <w:t>(15a</w:t>
      </w:r>
      <w:r w:rsidRPr="0093175E">
        <w:rPr>
          <w:szCs w:val="24"/>
          <w:lang w:val="en-US"/>
        </w:rPr>
        <w:t>)</w:t>
      </w:r>
    </w:p>
    <w:p w:rsidR="00FB0884" w:rsidRPr="0093175E" w:rsidRDefault="00FB0884" w:rsidP="00FB0884">
      <w:pPr>
        <w:spacing w:after="240" w:line="276" w:lineRule="auto"/>
        <w:ind w:left="360"/>
        <w:jc w:val="center"/>
        <w:rPr>
          <w:szCs w:val="24"/>
          <w:lang w:val="en-US"/>
        </w:rPr>
      </w:pPr>
      <m:oMath>
        <m:nary>
          <m:naryPr>
            <m:chr m:val="∑"/>
            <m:limLoc m:val="undOvr"/>
            <m:ctrlPr>
              <w:rPr>
                <w:rFonts w:ascii="Cambria Math" w:hAnsi="Cambria Math"/>
                <w:i/>
                <w:szCs w:val="24"/>
                <w:lang w:val="en-US"/>
              </w:rPr>
            </m:ctrlPr>
          </m:naryPr>
          <m:sub>
            <m:r>
              <w:rPr>
                <w:rFonts w:ascii="Cambria Math" w:hAnsi="Cambria Math"/>
                <w:szCs w:val="24"/>
                <w:lang w:val="en-US"/>
              </w:rPr>
              <m:t>i=1</m:t>
            </m:r>
          </m:sub>
          <m:sup>
            <m:r>
              <w:rPr>
                <w:rFonts w:ascii="Cambria Math" w:hAnsi="Cambria Math"/>
                <w:szCs w:val="24"/>
                <w:lang w:val="en-US"/>
              </w:rPr>
              <m:t>n</m:t>
            </m:r>
          </m:sup>
          <m:e>
            <m:sSubSup>
              <m:sSubSupPr>
                <m:ctrlPr>
                  <w:rPr>
                    <w:rFonts w:ascii="Cambria Math" w:hAnsi="Cambria Math"/>
                    <w:i/>
                    <w:szCs w:val="24"/>
                    <w:lang w:val="en-US"/>
                  </w:rPr>
                </m:ctrlPr>
              </m:sSubSupPr>
              <m:e>
                <m:r>
                  <w:rPr>
                    <w:rFonts w:ascii="Cambria Math" w:hAnsi="Cambria Math"/>
                    <w:szCs w:val="24"/>
                    <w:lang w:val="en-US"/>
                  </w:rPr>
                  <m:t>INS</m:t>
                </m:r>
              </m:e>
              <m:sub>
                <m:r>
                  <w:rPr>
                    <w:rFonts w:ascii="Cambria Math" w:hAnsi="Cambria Math"/>
                    <w:szCs w:val="24"/>
                    <w:lang w:val="en-US"/>
                  </w:rPr>
                  <m:t>i,j</m:t>
                </m:r>
              </m:sub>
              <m:sup>
                <m:r>
                  <w:rPr>
                    <w:rFonts w:ascii="Cambria Math" w:hAnsi="Cambria Math"/>
                    <w:szCs w:val="24"/>
                    <w:lang w:val="en-US"/>
                  </w:rPr>
                  <m:t>k</m:t>
                </m:r>
              </m:sup>
            </m:sSubSup>
            <m:r>
              <w:rPr>
                <w:rFonts w:ascii="Cambria Math" w:hAnsi="Cambria Math"/>
                <w:szCs w:val="24"/>
                <w:lang w:val="en-US"/>
              </w:rPr>
              <m:t>-n</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INS</m:t>
                    </m:r>
                  </m:e>
                </m:acc>
              </m:e>
              <m:sub>
                <m:r>
                  <w:rPr>
                    <w:rFonts w:ascii="Cambria Math" w:hAnsi="Cambria Math"/>
                    <w:szCs w:val="24"/>
                    <w:lang w:val="en-US"/>
                  </w:rPr>
                  <m:t>j</m:t>
                </m:r>
              </m:sub>
            </m:sSub>
            <m:r>
              <w:rPr>
                <w:rFonts w:ascii="Cambria Math" w:hAnsi="Cambria Math"/>
                <w:szCs w:val="24"/>
                <w:lang w:val="en-US"/>
              </w:rPr>
              <m:t>=0</m:t>
            </m:r>
          </m:e>
        </m:nary>
      </m:oMath>
      <w:r>
        <w:rPr>
          <w:szCs w:val="24"/>
          <w:lang w:val="en-US"/>
        </w:rPr>
        <w:tab/>
      </w:r>
      <w:r>
        <w:rPr>
          <w:szCs w:val="24"/>
          <w:lang w:val="en-US"/>
        </w:rPr>
        <w:tab/>
        <w:t>(15a</w:t>
      </w:r>
      <w:r w:rsidRPr="0093175E">
        <w:rPr>
          <w:szCs w:val="24"/>
          <w:lang w:val="en-US"/>
        </w:rPr>
        <w:t>)</w:t>
      </w:r>
    </w:p>
    <w:p w:rsidR="00FB0884" w:rsidRDefault="00FB0884" w:rsidP="00FB0884">
      <w:pPr>
        <w:spacing w:line="240" w:lineRule="auto"/>
        <w:contextualSpacing/>
        <w:rPr>
          <w:rFonts w:eastAsia="Times New Roman"/>
          <w:sz w:val="24"/>
          <w:szCs w:val="24"/>
          <w:lang w:val="en-US" w:eastAsia="hu-HU"/>
        </w:rPr>
      </w:pPr>
      <w:r>
        <w:rPr>
          <w:rFonts w:eastAsia="Times New Roman"/>
          <w:sz w:val="24"/>
          <w:szCs w:val="24"/>
          <w:lang w:val="en-US" w:eastAsia="hu-HU"/>
        </w:rPr>
        <w:t xml:space="preserve">Finally the individual and the institutional variables score for country </w:t>
      </w:r>
      <w:proofErr w:type="spellStart"/>
      <w:r w:rsidRPr="004731D6">
        <w:rPr>
          <w:rFonts w:eastAsia="Times New Roman"/>
          <w:i/>
          <w:sz w:val="24"/>
          <w:szCs w:val="24"/>
          <w:lang w:val="en-US" w:eastAsia="hu-HU"/>
        </w:rPr>
        <w:t>i</w:t>
      </w:r>
      <w:proofErr w:type="spellEnd"/>
      <w:r>
        <w:rPr>
          <w:rFonts w:eastAsia="Times New Roman"/>
          <w:sz w:val="24"/>
          <w:szCs w:val="24"/>
          <w:lang w:val="en-US" w:eastAsia="hu-HU"/>
        </w:rPr>
        <w:t xml:space="preserve"> are calculated as the average of the average adjusted individual and institutional variables scores multiplied by 100 </w:t>
      </w:r>
    </w:p>
    <w:p w:rsidR="00FB0884" w:rsidRDefault="00FB0884" w:rsidP="00FB0884">
      <w:pPr>
        <w:spacing w:line="240" w:lineRule="auto"/>
        <w:contextualSpacing/>
        <w:rPr>
          <w:rFonts w:eastAsia="Times New Roman"/>
          <w:sz w:val="24"/>
          <w:szCs w:val="24"/>
          <w:lang w:val="en-US" w:eastAsia="hu-HU"/>
        </w:rPr>
      </w:pPr>
    </w:p>
    <w:p w:rsidR="00FB0884" w:rsidRPr="004F6F9F" w:rsidRDefault="00FB0884" w:rsidP="00FB0884">
      <w:pPr>
        <w:tabs>
          <w:tab w:val="left" w:pos="5103"/>
        </w:tabs>
        <w:spacing w:line="240" w:lineRule="auto"/>
        <w:ind w:left="567" w:hanging="567"/>
        <w:jc w:val="center"/>
        <w:rPr>
          <w:rFonts w:eastAsia="Times New Roman"/>
          <w:sz w:val="24"/>
          <w:szCs w:val="24"/>
          <w:lang w:val="en-US" w:eastAsia="hu-HU"/>
        </w:rPr>
      </w:pPr>
      <m:oMathPara>
        <m:oMathParaPr>
          <m:jc m:val="left"/>
        </m:oMathParaPr>
        <m:oMath>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IND</m:t>
              </m:r>
            </m:e>
            <m:sub>
              <m:r>
                <w:rPr>
                  <w:rFonts w:ascii="Cambria Math" w:eastAsia="Times New Roman" w:hAnsi="Cambria Math"/>
                  <w:sz w:val="24"/>
                  <w:szCs w:val="24"/>
                  <w:lang w:val="en-US" w:eastAsia="hu-HU"/>
                </w:rPr>
                <m:t>i</m:t>
              </m:r>
            </m:sub>
          </m:sSub>
          <m:r>
            <w:rPr>
              <w:rFonts w:ascii="Cambria Math" w:eastAsia="Times New Roman" w:hAnsi="Cambria Math"/>
              <w:sz w:val="24"/>
              <w:szCs w:val="24"/>
              <w:lang w:val="en-US" w:eastAsia="hu-HU"/>
            </w:rPr>
            <m:t>=</m:t>
          </m:r>
          <m:f>
            <m:fPr>
              <m:ctrlPr>
                <w:rPr>
                  <w:rFonts w:ascii="Cambria Math" w:eastAsia="Times New Roman" w:hAnsi="Cambria Math"/>
                  <w:i/>
                  <w:sz w:val="24"/>
                  <w:szCs w:val="24"/>
                  <w:lang w:val="en-US" w:eastAsia="hu-HU"/>
                </w:rPr>
              </m:ctrlPr>
            </m:fPr>
            <m:num>
              <m:r>
                <w:rPr>
                  <w:rFonts w:ascii="Cambria Math" w:eastAsia="Times New Roman" w:hAnsi="Cambria Math"/>
                  <w:sz w:val="24"/>
                  <w:szCs w:val="24"/>
                  <w:lang w:val="en-US" w:eastAsia="hu-HU"/>
                </w:rPr>
                <m:t>100</m:t>
              </m:r>
            </m:num>
            <m:den>
              <m:r>
                <w:rPr>
                  <w:rFonts w:ascii="Cambria Math" w:eastAsia="Times New Roman" w:hAnsi="Cambria Math"/>
                  <w:sz w:val="24"/>
                  <w:szCs w:val="24"/>
                  <w:lang w:val="en-US" w:eastAsia="hu-HU"/>
                </w:rPr>
                <m:t>14</m:t>
              </m:r>
            </m:den>
          </m:f>
          <m:nary>
            <m:naryPr>
              <m:chr m:val="∑"/>
              <m:limLoc m:val="subSup"/>
              <m:ctrlPr>
                <w:rPr>
                  <w:rFonts w:ascii="Cambria Math" w:eastAsia="Times New Roman" w:hAnsi="Cambria Math"/>
                  <w:i/>
                  <w:sz w:val="24"/>
                  <w:szCs w:val="24"/>
                  <w:lang w:val="en-US" w:eastAsia="hu-HU"/>
                </w:rPr>
              </m:ctrlPr>
            </m:naryPr>
            <m:sub>
              <m:r>
                <w:rPr>
                  <w:rFonts w:ascii="Cambria Math" w:eastAsia="Times New Roman" w:hAnsi="Cambria Math"/>
                  <w:sz w:val="24"/>
                  <w:szCs w:val="24"/>
                  <w:lang w:val="en-US" w:eastAsia="hu-HU"/>
                </w:rPr>
                <m:t>j=1</m:t>
              </m:r>
            </m:sub>
            <m:sup>
              <m:r>
                <w:rPr>
                  <w:rFonts w:ascii="Cambria Math" w:eastAsia="Times New Roman" w:hAnsi="Cambria Math"/>
                  <w:sz w:val="24"/>
                  <w:szCs w:val="24"/>
                  <w:lang w:val="en-US" w:eastAsia="hu-HU"/>
                </w:rPr>
                <m:t>14</m:t>
              </m:r>
            </m:sup>
            <m:e>
              <m:r>
                <w:rPr>
                  <w:rFonts w:ascii="Cambria Math" w:eastAsia="Times New Roman" w:hAnsi="Cambria Math"/>
                  <w:sz w:val="24"/>
                  <w:szCs w:val="24"/>
                  <w:lang w:val="en-US" w:eastAsia="hu-HU"/>
                </w:rPr>
                <m:t xml:space="preserve"> </m:t>
              </m:r>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IND</m:t>
                  </m:r>
                </m:e>
                <m:sub>
                  <m:r>
                    <w:rPr>
                      <w:rFonts w:ascii="Cambria Math" w:eastAsia="Times New Roman" w:hAnsi="Cambria Math"/>
                      <w:sz w:val="24"/>
                      <w:szCs w:val="24"/>
                      <w:lang w:val="en-US" w:eastAsia="hu-HU"/>
                    </w:rPr>
                    <m:t>j</m:t>
                  </m:r>
                </m:sub>
              </m:sSub>
            </m:e>
          </m:nary>
          <m:r>
            <w:rPr>
              <w:rFonts w:ascii="Cambria Math" w:eastAsia="Times New Roman" w:hAnsi="Cambria Math"/>
              <w:sz w:val="24"/>
              <w:szCs w:val="24"/>
              <w:lang w:val="en-US" w:eastAsia="hu-HU"/>
            </w:rPr>
            <m:t xml:space="preserve">                                          (16a)</m:t>
          </m:r>
        </m:oMath>
      </m:oMathPara>
    </w:p>
    <w:p w:rsidR="00FB0884" w:rsidRPr="004F6F9F" w:rsidRDefault="00FB0884" w:rsidP="00FB0884">
      <w:pPr>
        <w:tabs>
          <w:tab w:val="left" w:pos="5103"/>
        </w:tabs>
        <w:spacing w:line="240" w:lineRule="auto"/>
        <w:ind w:left="567" w:hanging="567"/>
        <w:jc w:val="center"/>
        <w:rPr>
          <w:rFonts w:eastAsia="Times New Roman"/>
          <w:sz w:val="24"/>
          <w:szCs w:val="24"/>
          <w:lang w:val="en-US" w:eastAsia="hu-HU"/>
        </w:rPr>
      </w:pPr>
      <m:oMathPara>
        <m:oMathParaPr>
          <m:jc m:val="left"/>
        </m:oMathParaPr>
        <m:oMath>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INS</m:t>
              </m:r>
            </m:e>
            <m:sub>
              <m:r>
                <w:rPr>
                  <w:rFonts w:ascii="Cambria Math" w:eastAsia="Times New Roman" w:hAnsi="Cambria Math"/>
                  <w:sz w:val="24"/>
                  <w:szCs w:val="24"/>
                  <w:lang w:val="en-US" w:eastAsia="hu-HU"/>
                </w:rPr>
                <m:t>i</m:t>
              </m:r>
            </m:sub>
          </m:sSub>
          <m:r>
            <w:rPr>
              <w:rFonts w:ascii="Cambria Math" w:eastAsia="Times New Roman" w:hAnsi="Cambria Math"/>
              <w:sz w:val="24"/>
              <w:szCs w:val="24"/>
              <w:lang w:val="en-US" w:eastAsia="hu-HU"/>
            </w:rPr>
            <m:t>=</m:t>
          </m:r>
          <m:f>
            <m:fPr>
              <m:ctrlPr>
                <w:rPr>
                  <w:rFonts w:ascii="Cambria Math" w:eastAsia="Times New Roman" w:hAnsi="Cambria Math"/>
                  <w:i/>
                  <w:sz w:val="24"/>
                  <w:szCs w:val="24"/>
                  <w:lang w:val="en-US" w:eastAsia="hu-HU"/>
                </w:rPr>
              </m:ctrlPr>
            </m:fPr>
            <m:num>
              <m:r>
                <w:rPr>
                  <w:rFonts w:ascii="Cambria Math" w:eastAsia="Times New Roman" w:hAnsi="Cambria Math"/>
                  <w:sz w:val="24"/>
                  <w:szCs w:val="24"/>
                  <w:lang w:val="en-US" w:eastAsia="hu-HU"/>
                </w:rPr>
                <m:t>100</m:t>
              </m:r>
            </m:num>
            <m:den>
              <m:r>
                <w:rPr>
                  <w:rFonts w:ascii="Cambria Math" w:eastAsia="Times New Roman" w:hAnsi="Cambria Math"/>
                  <w:sz w:val="24"/>
                  <w:szCs w:val="24"/>
                  <w:lang w:val="en-US" w:eastAsia="hu-HU"/>
                </w:rPr>
                <m:t>14</m:t>
              </m:r>
            </m:den>
          </m:f>
          <m:nary>
            <m:naryPr>
              <m:chr m:val="∑"/>
              <m:limLoc m:val="subSup"/>
              <m:ctrlPr>
                <w:rPr>
                  <w:rFonts w:ascii="Cambria Math" w:eastAsia="Times New Roman" w:hAnsi="Cambria Math"/>
                  <w:i/>
                  <w:sz w:val="24"/>
                  <w:szCs w:val="24"/>
                  <w:lang w:val="en-US" w:eastAsia="hu-HU"/>
                </w:rPr>
              </m:ctrlPr>
            </m:naryPr>
            <m:sub>
              <m:r>
                <w:rPr>
                  <w:rFonts w:ascii="Cambria Math" w:eastAsia="Times New Roman" w:hAnsi="Cambria Math"/>
                  <w:sz w:val="24"/>
                  <w:szCs w:val="24"/>
                  <w:lang w:val="en-US" w:eastAsia="hu-HU"/>
                </w:rPr>
                <m:t>j=1</m:t>
              </m:r>
            </m:sub>
            <m:sup>
              <m:r>
                <w:rPr>
                  <w:rFonts w:ascii="Cambria Math" w:eastAsia="Times New Roman" w:hAnsi="Cambria Math"/>
                  <w:sz w:val="24"/>
                  <w:szCs w:val="24"/>
                  <w:lang w:val="en-US" w:eastAsia="hu-HU"/>
                </w:rPr>
                <m:t>14</m:t>
              </m:r>
            </m:sup>
            <m:e>
              <m:r>
                <w:rPr>
                  <w:rFonts w:ascii="Cambria Math" w:eastAsia="Times New Roman" w:hAnsi="Cambria Math"/>
                  <w:sz w:val="24"/>
                  <w:szCs w:val="24"/>
                  <w:lang w:val="en-US" w:eastAsia="hu-HU"/>
                </w:rPr>
                <m:t xml:space="preserve"> </m:t>
              </m:r>
              <m:sSub>
                <m:sSubPr>
                  <m:ctrlPr>
                    <w:rPr>
                      <w:rFonts w:ascii="Cambria Math" w:eastAsia="Times New Roman" w:hAnsi="Cambria Math"/>
                      <w:i/>
                      <w:sz w:val="24"/>
                      <w:szCs w:val="24"/>
                      <w:lang w:val="en-US" w:eastAsia="hu-HU"/>
                    </w:rPr>
                  </m:ctrlPr>
                </m:sSubPr>
                <m:e>
                  <m:r>
                    <w:rPr>
                      <w:rFonts w:ascii="Cambria Math" w:eastAsia="Times New Roman" w:hAnsi="Cambria Math"/>
                      <w:sz w:val="24"/>
                      <w:szCs w:val="24"/>
                      <w:lang w:val="en-US" w:eastAsia="hu-HU"/>
                    </w:rPr>
                    <m:t>INS</m:t>
                  </m:r>
                </m:e>
                <m:sub>
                  <m:r>
                    <w:rPr>
                      <w:rFonts w:ascii="Cambria Math" w:eastAsia="Times New Roman" w:hAnsi="Cambria Math"/>
                      <w:sz w:val="24"/>
                      <w:szCs w:val="24"/>
                      <w:lang w:val="en-US" w:eastAsia="hu-HU"/>
                    </w:rPr>
                    <m:t>j</m:t>
                  </m:r>
                </m:sub>
              </m:sSub>
            </m:e>
          </m:nary>
          <m:r>
            <w:rPr>
              <w:rFonts w:ascii="Cambria Math" w:eastAsia="Times New Roman" w:hAnsi="Cambria Math"/>
              <w:sz w:val="24"/>
              <w:szCs w:val="24"/>
              <w:lang w:val="en-US" w:eastAsia="hu-HU"/>
            </w:rPr>
            <m:t xml:space="preserve">                                           (16b)</m:t>
          </m:r>
        </m:oMath>
      </m:oMathPara>
    </w:p>
    <w:p w:rsidR="00FB0884" w:rsidRDefault="00FB0884" w:rsidP="00FB0884">
      <w:pPr>
        <w:spacing w:line="240" w:lineRule="auto"/>
        <w:contextualSpacing/>
        <w:rPr>
          <w:rFonts w:eastAsia="Times New Roman"/>
          <w:sz w:val="24"/>
          <w:szCs w:val="24"/>
          <w:lang w:val="en-US" w:eastAsia="hu-HU"/>
        </w:rPr>
      </w:pPr>
    </w:p>
    <w:p w:rsidR="00FB0884" w:rsidRDefault="00FB0884" w:rsidP="00FB0884">
      <w:pPr>
        <w:spacing w:line="240" w:lineRule="auto"/>
        <w:contextualSpacing/>
        <w:rPr>
          <w:rFonts w:eastAsia="Times New Roman"/>
          <w:sz w:val="24"/>
          <w:szCs w:val="24"/>
          <w:lang w:val="en-US" w:eastAsia="hu-HU"/>
        </w:rPr>
      </w:pPr>
    </w:p>
    <w:p w:rsidR="00FB0884" w:rsidRDefault="00FB0884" w:rsidP="00FB0884">
      <w:pPr>
        <w:spacing w:after="200" w:line="276" w:lineRule="auto"/>
        <w:rPr>
          <w:rFonts w:eastAsia="Times New Roman"/>
          <w:sz w:val="24"/>
          <w:szCs w:val="24"/>
          <w:lang w:val="en-US" w:eastAsia="hu-HU"/>
        </w:rPr>
      </w:pPr>
      <w:r>
        <w:rPr>
          <w:rFonts w:eastAsia="Times New Roman"/>
          <w:sz w:val="24"/>
          <w:szCs w:val="24"/>
          <w:lang w:val="en-US" w:eastAsia="hu-HU"/>
        </w:rPr>
        <w:br w:type="page"/>
      </w:r>
    </w:p>
    <w:p w:rsidR="00FB0884" w:rsidRPr="00550E6F" w:rsidRDefault="00FF6E88" w:rsidP="00FB0884">
      <w:pPr>
        <w:rPr>
          <w:b/>
          <w:sz w:val="24"/>
          <w:szCs w:val="24"/>
          <w:lang w:val="en-US"/>
        </w:rPr>
      </w:pPr>
      <w:proofErr w:type="gramStart"/>
      <w:r w:rsidRPr="00550E6F">
        <w:rPr>
          <w:b/>
          <w:sz w:val="24"/>
          <w:szCs w:val="24"/>
          <w:lang w:val="en-US"/>
        </w:rPr>
        <w:t>Appendix 2.4</w:t>
      </w:r>
      <w:r w:rsidR="00550E6F">
        <w:rPr>
          <w:b/>
          <w:sz w:val="24"/>
          <w:szCs w:val="24"/>
          <w:lang w:val="en-US"/>
        </w:rPr>
        <w:t>.</w:t>
      </w:r>
      <w:proofErr w:type="gramEnd"/>
      <w:r w:rsidR="00550E6F">
        <w:rPr>
          <w:b/>
          <w:sz w:val="24"/>
          <w:szCs w:val="24"/>
          <w:lang w:val="en-US"/>
        </w:rPr>
        <w:t xml:space="preserve"> </w:t>
      </w:r>
      <w:r w:rsidRPr="00550E6F">
        <w:rPr>
          <w:b/>
          <w:sz w:val="24"/>
          <w:szCs w:val="24"/>
          <w:lang w:val="en-US"/>
        </w:rPr>
        <w:t xml:space="preserve"> </w:t>
      </w:r>
      <w:r w:rsidR="00550E6F">
        <w:rPr>
          <w:b/>
          <w:sz w:val="24"/>
          <w:szCs w:val="24"/>
          <w:lang w:val="en-US"/>
        </w:rPr>
        <w:t>D</w:t>
      </w:r>
      <w:r w:rsidR="00FB0884" w:rsidRPr="00550E6F">
        <w:rPr>
          <w:b/>
          <w:sz w:val="24"/>
          <w:szCs w:val="24"/>
          <w:lang w:val="en-US"/>
        </w:rPr>
        <w:t xml:space="preserve">escription of the individual variables used in the GEDI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195"/>
      </w:tblGrid>
      <w:tr w:rsidR="00FB0884" w:rsidRPr="00CB6840" w:rsidTr="00FB0884">
        <w:tc>
          <w:tcPr>
            <w:tcW w:w="2093" w:type="dxa"/>
          </w:tcPr>
          <w:p w:rsidR="00FB0884" w:rsidRPr="00CB6840" w:rsidRDefault="00FB0884" w:rsidP="00FB0884">
            <w:pPr>
              <w:spacing w:after="0" w:line="240" w:lineRule="auto"/>
              <w:jc w:val="center"/>
              <w:rPr>
                <w:b/>
                <w:lang w:val="en-US"/>
              </w:rPr>
            </w:pPr>
            <w:r w:rsidRPr="00CB6840">
              <w:rPr>
                <w:b/>
                <w:lang w:val="en-US"/>
              </w:rPr>
              <w:t>Individual variable</w:t>
            </w:r>
          </w:p>
        </w:tc>
        <w:tc>
          <w:tcPr>
            <w:tcW w:w="7195" w:type="dxa"/>
          </w:tcPr>
          <w:p w:rsidR="00FB0884" w:rsidRPr="00CB6840" w:rsidRDefault="00FB0884" w:rsidP="00FB0884">
            <w:pPr>
              <w:spacing w:after="0" w:line="240" w:lineRule="auto"/>
              <w:jc w:val="center"/>
              <w:rPr>
                <w:b/>
                <w:lang w:val="en-US"/>
              </w:rPr>
            </w:pPr>
            <w:r w:rsidRPr="00CB6840">
              <w:rPr>
                <w:b/>
                <w:lang w:val="en-US"/>
              </w:rPr>
              <w:t>Description</w:t>
            </w:r>
          </w:p>
        </w:tc>
      </w:tr>
      <w:tr w:rsidR="00FB0884" w:rsidRPr="00CB6840" w:rsidTr="00FB0884">
        <w:trPr>
          <w:trHeight w:val="623"/>
        </w:trPr>
        <w:tc>
          <w:tcPr>
            <w:tcW w:w="2093" w:type="dxa"/>
            <w:vAlign w:val="bottom"/>
          </w:tcPr>
          <w:p w:rsidR="00FB0884" w:rsidRPr="00CB6840" w:rsidRDefault="00FB0884" w:rsidP="00FB0884">
            <w:pPr>
              <w:spacing w:after="0" w:line="240" w:lineRule="auto"/>
              <w:rPr>
                <w:lang w:val="en-US"/>
              </w:rPr>
            </w:pPr>
            <w:r w:rsidRPr="00CB6840">
              <w:rPr>
                <w:lang w:val="en-US"/>
              </w:rPr>
              <w:t>Opportunity Recognition</w:t>
            </w:r>
          </w:p>
        </w:tc>
        <w:tc>
          <w:tcPr>
            <w:tcW w:w="7195" w:type="dxa"/>
          </w:tcPr>
          <w:p w:rsidR="00FB0884" w:rsidRPr="00CB6840" w:rsidRDefault="00FB0884" w:rsidP="00FB0884">
            <w:pPr>
              <w:spacing w:after="0" w:line="240" w:lineRule="auto"/>
              <w:rPr>
                <w:lang w:val="en-US"/>
              </w:rPr>
            </w:pPr>
            <w:r w:rsidRPr="00CB6840">
              <w:rPr>
                <w:lang w:val="en-US"/>
              </w:rPr>
              <w:t>The percentage of the 18-64 aged population recognizing good conditions to start business next</w:t>
            </w:r>
            <w:r>
              <w:rPr>
                <w:lang w:val="en-US"/>
              </w:rPr>
              <w:t xml:space="preserve"> 6 months in area he/she lives</w:t>
            </w:r>
          </w:p>
        </w:tc>
      </w:tr>
      <w:tr w:rsidR="00FB0884" w:rsidRPr="00CB6840" w:rsidTr="00FB0884">
        <w:tc>
          <w:tcPr>
            <w:tcW w:w="2093" w:type="dxa"/>
            <w:vAlign w:val="bottom"/>
          </w:tcPr>
          <w:p w:rsidR="00FB0884" w:rsidRPr="00CB6840" w:rsidRDefault="00FB0884" w:rsidP="00FB0884">
            <w:pPr>
              <w:spacing w:after="0" w:line="240" w:lineRule="auto"/>
              <w:rPr>
                <w:lang w:val="en-US"/>
              </w:rPr>
            </w:pPr>
            <w:r w:rsidRPr="00CB6840">
              <w:rPr>
                <w:lang w:val="en-US"/>
              </w:rPr>
              <w:t>Skill Perception</w:t>
            </w:r>
          </w:p>
        </w:tc>
        <w:tc>
          <w:tcPr>
            <w:tcW w:w="7195" w:type="dxa"/>
          </w:tcPr>
          <w:p w:rsidR="00FB0884" w:rsidRPr="00CB6840" w:rsidRDefault="00FB0884" w:rsidP="00FB0884">
            <w:pPr>
              <w:spacing w:after="0" w:line="240" w:lineRule="auto"/>
              <w:rPr>
                <w:lang w:val="en-US"/>
              </w:rPr>
            </w:pPr>
            <w:r w:rsidRPr="00CB6840">
              <w:rPr>
                <w:lang w:val="en-US"/>
              </w:rPr>
              <w:t xml:space="preserve">The percentage of the 18-64 aged population claiming to possess the required knowledge/skills to start business </w:t>
            </w:r>
          </w:p>
        </w:tc>
      </w:tr>
      <w:tr w:rsidR="00FB0884" w:rsidRPr="00CB6840" w:rsidTr="00FB0884">
        <w:tc>
          <w:tcPr>
            <w:tcW w:w="2093" w:type="dxa"/>
            <w:vAlign w:val="bottom"/>
          </w:tcPr>
          <w:p w:rsidR="00FB0884" w:rsidRPr="00CB6840" w:rsidRDefault="00FB0884" w:rsidP="00FB0884">
            <w:pPr>
              <w:spacing w:after="0" w:line="240" w:lineRule="auto"/>
              <w:rPr>
                <w:lang w:val="en-US"/>
              </w:rPr>
            </w:pPr>
            <w:r w:rsidRPr="00CB6840">
              <w:rPr>
                <w:lang w:val="en-US"/>
              </w:rPr>
              <w:t>Risk Acceptance</w:t>
            </w:r>
          </w:p>
        </w:tc>
        <w:tc>
          <w:tcPr>
            <w:tcW w:w="7195" w:type="dxa"/>
          </w:tcPr>
          <w:p w:rsidR="00FB0884" w:rsidRPr="00CB6840" w:rsidRDefault="00FB0884" w:rsidP="00FB0884">
            <w:pPr>
              <w:spacing w:after="0" w:line="240" w:lineRule="auto"/>
              <w:rPr>
                <w:lang w:val="en-US"/>
              </w:rPr>
            </w:pPr>
            <w:r w:rsidRPr="00CB6840">
              <w:rPr>
                <w:lang w:val="en-US"/>
              </w:rPr>
              <w:t xml:space="preserve">The percentage of the 18-64 aged population stating that the fear of failure would not prevent starting a business </w:t>
            </w:r>
          </w:p>
        </w:tc>
      </w:tr>
      <w:tr w:rsidR="00FB0884" w:rsidRPr="00CB6840" w:rsidTr="00FB0884">
        <w:tc>
          <w:tcPr>
            <w:tcW w:w="2093" w:type="dxa"/>
            <w:vAlign w:val="bottom"/>
          </w:tcPr>
          <w:p w:rsidR="00FB0884" w:rsidRPr="00CB6840" w:rsidRDefault="00FB0884" w:rsidP="00FB0884">
            <w:pPr>
              <w:spacing w:after="0" w:line="240" w:lineRule="auto"/>
              <w:rPr>
                <w:lang w:val="en-US"/>
              </w:rPr>
            </w:pPr>
            <w:r w:rsidRPr="00CB6840">
              <w:rPr>
                <w:lang w:val="en-US"/>
              </w:rPr>
              <w:t>Know Entrepreneurs</w:t>
            </w:r>
          </w:p>
        </w:tc>
        <w:tc>
          <w:tcPr>
            <w:tcW w:w="7195" w:type="dxa"/>
          </w:tcPr>
          <w:p w:rsidR="00FB0884" w:rsidRPr="00CB6840" w:rsidRDefault="00FB0884" w:rsidP="00FB0884">
            <w:pPr>
              <w:spacing w:after="0" w:line="240" w:lineRule="auto"/>
              <w:rPr>
                <w:lang w:val="en-US"/>
              </w:rPr>
            </w:pPr>
            <w:r w:rsidRPr="00CB6840">
              <w:rPr>
                <w:lang w:val="en-US"/>
              </w:rPr>
              <w:t xml:space="preserve">The percentage of the 18-64 aged population knowing someone who started a business in the past 2 years </w:t>
            </w:r>
          </w:p>
        </w:tc>
      </w:tr>
      <w:tr w:rsidR="00FB0884" w:rsidRPr="00CB6840" w:rsidTr="00FB0884">
        <w:tc>
          <w:tcPr>
            <w:tcW w:w="2093" w:type="dxa"/>
          </w:tcPr>
          <w:p w:rsidR="00FB0884" w:rsidRPr="00CB6840" w:rsidRDefault="00FB0884" w:rsidP="00FB0884">
            <w:pPr>
              <w:spacing w:after="0" w:line="240" w:lineRule="auto"/>
              <w:rPr>
                <w:lang w:val="en-US"/>
              </w:rPr>
            </w:pPr>
            <w:r w:rsidRPr="00CB6840">
              <w:rPr>
                <w:lang w:val="en-US"/>
              </w:rPr>
              <w:t>Carrier</w:t>
            </w:r>
          </w:p>
        </w:tc>
        <w:tc>
          <w:tcPr>
            <w:tcW w:w="7195" w:type="dxa"/>
          </w:tcPr>
          <w:p w:rsidR="00FB0884" w:rsidRPr="00CB6840" w:rsidRDefault="00FB0884" w:rsidP="00FB0884">
            <w:pPr>
              <w:spacing w:after="0" w:line="240" w:lineRule="auto"/>
              <w:rPr>
                <w:lang w:val="en-US"/>
              </w:rPr>
            </w:pPr>
            <w:r w:rsidRPr="00CB6840">
              <w:rPr>
                <w:lang w:val="en-US"/>
              </w:rPr>
              <w:t>The percentage of the 18-64 aged population saying that people consider starting business as good carrier choice</w:t>
            </w:r>
          </w:p>
        </w:tc>
      </w:tr>
      <w:tr w:rsidR="00FB0884" w:rsidRPr="00CB6840" w:rsidTr="00FB0884">
        <w:tc>
          <w:tcPr>
            <w:tcW w:w="2093" w:type="dxa"/>
          </w:tcPr>
          <w:p w:rsidR="00FB0884" w:rsidRPr="00CB6840" w:rsidRDefault="00FB0884" w:rsidP="00FB0884">
            <w:pPr>
              <w:spacing w:after="0" w:line="240" w:lineRule="auto"/>
              <w:rPr>
                <w:lang w:val="en-US"/>
              </w:rPr>
            </w:pPr>
            <w:r w:rsidRPr="00CB6840">
              <w:rPr>
                <w:lang w:val="en-US"/>
              </w:rPr>
              <w:t>Status</w:t>
            </w:r>
          </w:p>
        </w:tc>
        <w:tc>
          <w:tcPr>
            <w:tcW w:w="7195" w:type="dxa"/>
          </w:tcPr>
          <w:p w:rsidR="00FB0884" w:rsidRPr="00CB6840" w:rsidRDefault="00FB0884" w:rsidP="00FB0884">
            <w:pPr>
              <w:spacing w:after="0" w:line="240" w:lineRule="auto"/>
              <w:rPr>
                <w:lang w:val="en-US"/>
              </w:rPr>
            </w:pPr>
            <w:r w:rsidRPr="00CB6840">
              <w:rPr>
                <w:lang w:val="en-US"/>
              </w:rPr>
              <w:t>The percentage of the 18-64 aged population thinking that people attach high status to successful entrepreneurs</w:t>
            </w:r>
          </w:p>
        </w:tc>
      </w:tr>
      <w:tr w:rsidR="00FB0884" w:rsidRPr="00CB6840" w:rsidTr="00FB0884">
        <w:tc>
          <w:tcPr>
            <w:tcW w:w="2093" w:type="dxa"/>
          </w:tcPr>
          <w:p w:rsidR="00FB0884" w:rsidRPr="00CB6840" w:rsidRDefault="00FB0884" w:rsidP="00FB0884">
            <w:pPr>
              <w:spacing w:after="0" w:line="240" w:lineRule="auto"/>
              <w:rPr>
                <w:lang w:val="en-US"/>
              </w:rPr>
            </w:pPr>
            <w:r w:rsidRPr="00CB6840">
              <w:rPr>
                <w:lang w:val="en-US"/>
              </w:rPr>
              <w:t>Career Status</w:t>
            </w:r>
          </w:p>
          <w:p w:rsidR="00FB0884" w:rsidRPr="00CB6840" w:rsidRDefault="00FB0884" w:rsidP="00FB0884">
            <w:pPr>
              <w:spacing w:after="0" w:line="240" w:lineRule="auto"/>
              <w:rPr>
                <w:lang w:val="en-US"/>
              </w:rPr>
            </w:pPr>
          </w:p>
        </w:tc>
        <w:tc>
          <w:tcPr>
            <w:tcW w:w="7195" w:type="dxa"/>
          </w:tcPr>
          <w:p w:rsidR="00FB0884" w:rsidRPr="00CB6840" w:rsidRDefault="00FB0884" w:rsidP="00FB0884">
            <w:pPr>
              <w:spacing w:after="0" w:line="240" w:lineRule="auto"/>
              <w:rPr>
                <w:lang w:val="en-US"/>
              </w:rPr>
            </w:pPr>
            <w:r w:rsidRPr="00CB6840">
              <w:rPr>
                <w:lang w:val="en-US"/>
              </w:rPr>
              <w:t>The status and respect of entrepreneurs calculated as the average of Carrier and Status</w:t>
            </w:r>
          </w:p>
        </w:tc>
      </w:tr>
      <w:tr w:rsidR="00FB0884" w:rsidRPr="00CB6840" w:rsidTr="00FB0884">
        <w:tc>
          <w:tcPr>
            <w:tcW w:w="2093" w:type="dxa"/>
            <w:vAlign w:val="bottom"/>
          </w:tcPr>
          <w:p w:rsidR="00FB0884" w:rsidRPr="00CB6840" w:rsidRDefault="00FB0884" w:rsidP="00FB0884">
            <w:pPr>
              <w:spacing w:after="0" w:line="240" w:lineRule="auto"/>
              <w:rPr>
                <w:lang w:val="en-US"/>
              </w:rPr>
            </w:pPr>
            <w:r w:rsidRPr="00CB6840">
              <w:rPr>
                <w:lang w:val="en-US"/>
              </w:rPr>
              <w:t>Opportunity Motivation</w:t>
            </w:r>
          </w:p>
        </w:tc>
        <w:tc>
          <w:tcPr>
            <w:tcW w:w="7195" w:type="dxa"/>
          </w:tcPr>
          <w:p w:rsidR="00FB0884" w:rsidRPr="00CB6840" w:rsidRDefault="00FB0884" w:rsidP="00FB0884">
            <w:pPr>
              <w:spacing w:after="0" w:line="240" w:lineRule="auto"/>
              <w:rPr>
                <w:lang w:val="en-US"/>
              </w:rPr>
            </w:pPr>
            <w:r w:rsidRPr="00CB6840">
              <w:rPr>
                <w:lang w:val="en-US"/>
              </w:rPr>
              <w:t xml:space="preserve">Percentage of the TEA businesses initiated because of opportunity start-up motive </w:t>
            </w:r>
          </w:p>
        </w:tc>
      </w:tr>
      <w:tr w:rsidR="00FB0884" w:rsidRPr="00CB6840" w:rsidTr="00FB0884">
        <w:tc>
          <w:tcPr>
            <w:tcW w:w="2093" w:type="dxa"/>
            <w:vAlign w:val="bottom"/>
          </w:tcPr>
          <w:p w:rsidR="00FB0884" w:rsidRPr="00CB6840" w:rsidRDefault="00FB0884" w:rsidP="00FB0884">
            <w:pPr>
              <w:spacing w:after="0" w:line="240" w:lineRule="auto"/>
              <w:rPr>
                <w:lang w:val="en-US"/>
              </w:rPr>
            </w:pPr>
            <w:r w:rsidRPr="00CB6840">
              <w:rPr>
                <w:lang w:val="en-US"/>
              </w:rPr>
              <w:t>Technology Level</w:t>
            </w:r>
          </w:p>
        </w:tc>
        <w:tc>
          <w:tcPr>
            <w:tcW w:w="7195" w:type="dxa"/>
          </w:tcPr>
          <w:p w:rsidR="00FB0884" w:rsidRPr="00CB6840" w:rsidRDefault="00FB0884" w:rsidP="00FB0884">
            <w:pPr>
              <w:spacing w:after="0" w:line="240" w:lineRule="auto"/>
              <w:rPr>
                <w:lang w:val="en-US"/>
              </w:rPr>
            </w:pPr>
            <w:r w:rsidRPr="00CB6840">
              <w:rPr>
                <w:lang w:val="en-US"/>
              </w:rPr>
              <w:t xml:space="preserve">Percentage of the TEA businesses that are active in technology sectors (high or medium) </w:t>
            </w:r>
          </w:p>
        </w:tc>
      </w:tr>
      <w:tr w:rsidR="00FB0884" w:rsidRPr="00CB6840" w:rsidTr="00FB0884">
        <w:tc>
          <w:tcPr>
            <w:tcW w:w="2093" w:type="dxa"/>
            <w:vAlign w:val="bottom"/>
          </w:tcPr>
          <w:p w:rsidR="00FB0884" w:rsidRPr="00CB6840" w:rsidRDefault="00FB0884" w:rsidP="00FB0884">
            <w:pPr>
              <w:spacing w:after="0" w:line="240" w:lineRule="auto"/>
              <w:rPr>
                <w:lang w:val="en-US"/>
              </w:rPr>
            </w:pPr>
            <w:r w:rsidRPr="00CB6840">
              <w:rPr>
                <w:lang w:val="en-US"/>
              </w:rPr>
              <w:t>Educational Level</w:t>
            </w:r>
          </w:p>
        </w:tc>
        <w:tc>
          <w:tcPr>
            <w:tcW w:w="7195" w:type="dxa"/>
          </w:tcPr>
          <w:p w:rsidR="00FB0884" w:rsidRPr="00CB6840" w:rsidRDefault="00FB0884" w:rsidP="00FB0884">
            <w:pPr>
              <w:spacing w:after="0" w:line="240" w:lineRule="auto"/>
              <w:rPr>
                <w:lang w:val="en-US"/>
              </w:rPr>
            </w:pPr>
            <w:r w:rsidRPr="00CB6840">
              <w:rPr>
                <w:lang w:val="en-US"/>
              </w:rPr>
              <w:t xml:space="preserve">Percentage of the TEA businesses owner/managers having participated over secondary education </w:t>
            </w:r>
          </w:p>
        </w:tc>
      </w:tr>
      <w:tr w:rsidR="00FB0884" w:rsidRPr="00CB6840" w:rsidTr="00FB0884">
        <w:tc>
          <w:tcPr>
            <w:tcW w:w="2093" w:type="dxa"/>
            <w:vAlign w:val="bottom"/>
          </w:tcPr>
          <w:p w:rsidR="00FB0884" w:rsidRPr="00CB6840" w:rsidRDefault="00FB0884" w:rsidP="00FB0884">
            <w:pPr>
              <w:spacing w:after="0" w:line="240" w:lineRule="auto"/>
              <w:rPr>
                <w:lang w:val="en-US"/>
              </w:rPr>
            </w:pPr>
            <w:r w:rsidRPr="00CB6840">
              <w:rPr>
                <w:lang w:val="en-US"/>
              </w:rPr>
              <w:t>Competitors</w:t>
            </w:r>
          </w:p>
        </w:tc>
        <w:tc>
          <w:tcPr>
            <w:tcW w:w="7195" w:type="dxa"/>
          </w:tcPr>
          <w:p w:rsidR="00FB0884" w:rsidRPr="00CB6840" w:rsidRDefault="00FB0884" w:rsidP="00FB0884">
            <w:pPr>
              <w:spacing w:after="0" w:line="240" w:lineRule="auto"/>
              <w:rPr>
                <w:lang w:val="en-US"/>
              </w:rPr>
            </w:pPr>
            <w:r w:rsidRPr="00CB6840">
              <w:rPr>
                <w:lang w:val="en-US"/>
              </w:rPr>
              <w:t>Percentage of the TEA businesses started in those markets where not many businesses offer the same product</w:t>
            </w:r>
          </w:p>
        </w:tc>
      </w:tr>
      <w:tr w:rsidR="00FB0884" w:rsidRPr="00CB6840" w:rsidTr="00FB0884">
        <w:tc>
          <w:tcPr>
            <w:tcW w:w="2093" w:type="dxa"/>
            <w:vAlign w:val="bottom"/>
          </w:tcPr>
          <w:p w:rsidR="00FB0884" w:rsidRPr="00CB6840" w:rsidRDefault="00FB0884" w:rsidP="00FB0884">
            <w:pPr>
              <w:spacing w:after="0" w:line="240" w:lineRule="auto"/>
              <w:rPr>
                <w:lang w:val="en-US"/>
              </w:rPr>
            </w:pPr>
            <w:r w:rsidRPr="00CB6840">
              <w:rPr>
                <w:lang w:val="en-US"/>
              </w:rPr>
              <w:t>New Product</w:t>
            </w:r>
          </w:p>
        </w:tc>
        <w:tc>
          <w:tcPr>
            <w:tcW w:w="7195" w:type="dxa"/>
          </w:tcPr>
          <w:p w:rsidR="00FB0884" w:rsidRPr="00CB6840" w:rsidRDefault="00FB0884" w:rsidP="00FB0884">
            <w:pPr>
              <w:spacing w:after="0" w:line="240" w:lineRule="auto"/>
              <w:rPr>
                <w:lang w:val="en-US"/>
              </w:rPr>
            </w:pPr>
            <w:r w:rsidRPr="00CB6840">
              <w:rPr>
                <w:lang w:val="en-US"/>
              </w:rPr>
              <w:t>Percentage of the TEA businesses offering products that are new to at least some of the customers</w:t>
            </w:r>
          </w:p>
        </w:tc>
      </w:tr>
      <w:tr w:rsidR="00FB0884" w:rsidRPr="00CB6840" w:rsidTr="00FB0884">
        <w:tc>
          <w:tcPr>
            <w:tcW w:w="2093" w:type="dxa"/>
            <w:vAlign w:val="bottom"/>
          </w:tcPr>
          <w:p w:rsidR="00FB0884" w:rsidRPr="00CB6840" w:rsidRDefault="00FB0884" w:rsidP="00FB0884">
            <w:pPr>
              <w:spacing w:after="0" w:line="240" w:lineRule="auto"/>
              <w:rPr>
                <w:lang w:val="en-US"/>
              </w:rPr>
            </w:pPr>
            <w:r w:rsidRPr="00CB6840">
              <w:rPr>
                <w:lang w:val="en-US"/>
              </w:rPr>
              <w:t>New Tech</w:t>
            </w:r>
          </w:p>
        </w:tc>
        <w:tc>
          <w:tcPr>
            <w:tcW w:w="7195" w:type="dxa"/>
          </w:tcPr>
          <w:p w:rsidR="00FB0884" w:rsidRPr="00CB6840" w:rsidRDefault="00FB0884" w:rsidP="00FB0884">
            <w:pPr>
              <w:spacing w:after="0" w:line="240" w:lineRule="auto"/>
              <w:rPr>
                <w:lang w:val="en-US"/>
              </w:rPr>
            </w:pPr>
            <w:r w:rsidRPr="00CB6840">
              <w:rPr>
                <w:lang w:val="en-US"/>
              </w:rPr>
              <w:t>Percentage of the TEA businesses using new technology that is less than 5 years old average (including 1 year)</w:t>
            </w:r>
          </w:p>
        </w:tc>
      </w:tr>
      <w:tr w:rsidR="00FB0884" w:rsidRPr="00CB6840" w:rsidTr="00FB0884">
        <w:tc>
          <w:tcPr>
            <w:tcW w:w="2093" w:type="dxa"/>
            <w:vAlign w:val="bottom"/>
          </w:tcPr>
          <w:p w:rsidR="00FB0884" w:rsidRPr="00CB6840" w:rsidRDefault="00FB0884" w:rsidP="00FB0884">
            <w:pPr>
              <w:spacing w:after="0" w:line="240" w:lineRule="auto"/>
              <w:rPr>
                <w:lang w:val="en-US"/>
              </w:rPr>
            </w:pPr>
            <w:r w:rsidRPr="00CB6840">
              <w:rPr>
                <w:lang w:val="en-US"/>
              </w:rPr>
              <w:t>Gazelle</w:t>
            </w:r>
          </w:p>
        </w:tc>
        <w:tc>
          <w:tcPr>
            <w:tcW w:w="7195" w:type="dxa"/>
          </w:tcPr>
          <w:p w:rsidR="00FB0884" w:rsidRPr="00CB6840" w:rsidRDefault="00FB0884" w:rsidP="00FB0884">
            <w:pPr>
              <w:spacing w:after="0" w:line="240" w:lineRule="auto"/>
              <w:rPr>
                <w:lang w:val="en-US"/>
              </w:rPr>
            </w:pPr>
            <w:r w:rsidRPr="00CB6840">
              <w:rPr>
                <w:lang w:val="en-US"/>
              </w:rPr>
              <w:t xml:space="preserve">Percentage of the TEA businesses having high job expectation average (over 10 more employees and 50% in 5 years) </w:t>
            </w:r>
          </w:p>
        </w:tc>
      </w:tr>
      <w:tr w:rsidR="00FB0884" w:rsidRPr="00CB6840" w:rsidTr="00FB0884">
        <w:tc>
          <w:tcPr>
            <w:tcW w:w="2093" w:type="dxa"/>
            <w:vAlign w:val="bottom"/>
          </w:tcPr>
          <w:p w:rsidR="00FB0884" w:rsidRPr="00CB6840" w:rsidRDefault="00FB0884" w:rsidP="00FB0884">
            <w:pPr>
              <w:spacing w:after="0" w:line="240" w:lineRule="auto"/>
              <w:rPr>
                <w:lang w:val="en-US"/>
              </w:rPr>
            </w:pPr>
            <w:r w:rsidRPr="00CB6840">
              <w:rPr>
                <w:lang w:val="en-US"/>
              </w:rPr>
              <w:t>Export</w:t>
            </w:r>
          </w:p>
        </w:tc>
        <w:tc>
          <w:tcPr>
            <w:tcW w:w="7195" w:type="dxa"/>
          </w:tcPr>
          <w:p w:rsidR="00FB0884" w:rsidRPr="00CB6840" w:rsidRDefault="00FB0884" w:rsidP="00FB0884">
            <w:pPr>
              <w:spacing w:after="0" w:line="240" w:lineRule="auto"/>
              <w:rPr>
                <w:lang w:val="en-US"/>
              </w:rPr>
            </w:pPr>
            <w:r w:rsidRPr="00CB6840">
              <w:rPr>
                <w:lang w:val="en-US"/>
              </w:rPr>
              <w:t>Percentage of the TEA businesses where at least some customers are outside country (over 1%)</w:t>
            </w:r>
          </w:p>
        </w:tc>
      </w:tr>
      <w:tr w:rsidR="00FB0884" w:rsidRPr="00CB6840" w:rsidTr="00FB0884">
        <w:tc>
          <w:tcPr>
            <w:tcW w:w="2093" w:type="dxa"/>
          </w:tcPr>
          <w:p w:rsidR="00FB0884" w:rsidRPr="00CB6840" w:rsidRDefault="00FB0884" w:rsidP="00FB0884">
            <w:pPr>
              <w:spacing w:after="0" w:line="240" w:lineRule="auto"/>
              <w:rPr>
                <w:lang w:val="en-US"/>
              </w:rPr>
            </w:pPr>
            <w:r w:rsidRPr="00CB6840">
              <w:rPr>
                <w:lang w:val="en-US"/>
              </w:rPr>
              <w:t>Informal Investment Mean</w:t>
            </w:r>
          </w:p>
        </w:tc>
        <w:tc>
          <w:tcPr>
            <w:tcW w:w="7195" w:type="dxa"/>
          </w:tcPr>
          <w:p w:rsidR="00FB0884" w:rsidRPr="00CB6840" w:rsidRDefault="00FB0884" w:rsidP="00FB0884">
            <w:pPr>
              <w:spacing w:after="0" w:line="240" w:lineRule="auto"/>
              <w:rPr>
                <w:lang w:val="en-US"/>
              </w:rPr>
            </w:pPr>
            <w:r w:rsidRPr="00CB6840">
              <w:rPr>
                <w:lang w:val="en-US"/>
              </w:rPr>
              <w:t>The mean amount of 3 year informal investment</w:t>
            </w:r>
          </w:p>
        </w:tc>
      </w:tr>
      <w:tr w:rsidR="00FB0884" w:rsidRPr="00CB6840" w:rsidTr="00FB0884">
        <w:tc>
          <w:tcPr>
            <w:tcW w:w="2093" w:type="dxa"/>
          </w:tcPr>
          <w:p w:rsidR="00FB0884" w:rsidRPr="00CB6840" w:rsidRDefault="00FB0884" w:rsidP="00FB0884">
            <w:pPr>
              <w:spacing w:after="0" w:line="240" w:lineRule="auto"/>
              <w:rPr>
                <w:lang w:val="en-US"/>
              </w:rPr>
            </w:pPr>
            <w:r w:rsidRPr="00CB6840">
              <w:rPr>
                <w:lang w:val="en-US"/>
              </w:rPr>
              <w:t>Business Angel</w:t>
            </w:r>
          </w:p>
        </w:tc>
        <w:tc>
          <w:tcPr>
            <w:tcW w:w="7195" w:type="dxa"/>
          </w:tcPr>
          <w:p w:rsidR="00FB0884" w:rsidRPr="00CB6840" w:rsidRDefault="00FB0884" w:rsidP="00FB0884">
            <w:pPr>
              <w:spacing w:after="0" w:line="240" w:lineRule="auto"/>
              <w:rPr>
                <w:lang w:val="en-US"/>
              </w:rPr>
            </w:pPr>
            <w:r w:rsidRPr="00CB6840">
              <w:rPr>
                <w:lang w:val="en-US"/>
              </w:rPr>
              <w:t xml:space="preserve">The percentage of the 18-64 aged population who provided funds for new business in past 3 years excluding stocks &amp; funds, average </w:t>
            </w:r>
          </w:p>
        </w:tc>
      </w:tr>
      <w:tr w:rsidR="00FB0884" w:rsidRPr="00CB6840" w:rsidTr="00FB0884">
        <w:tc>
          <w:tcPr>
            <w:tcW w:w="2093" w:type="dxa"/>
          </w:tcPr>
          <w:p w:rsidR="00FB0884" w:rsidRPr="00CB6840" w:rsidRDefault="00FB0884" w:rsidP="00FB0884">
            <w:pPr>
              <w:spacing w:after="0" w:line="240" w:lineRule="auto"/>
              <w:rPr>
                <w:lang w:val="en-US"/>
              </w:rPr>
            </w:pPr>
            <w:r w:rsidRPr="00CB6840">
              <w:rPr>
                <w:lang w:val="en-US"/>
              </w:rPr>
              <w:t>Informal Investment</w:t>
            </w:r>
          </w:p>
        </w:tc>
        <w:tc>
          <w:tcPr>
            <w:tcW w:w="7195" w:type="dxa"/>
          </w:tcPr>
          <w:p w:rsidR="00FB0884" w:rsidRPr="00CB6840" w:rsidRDefault="00FB0884" w:rsidP="00FB0884">
            <w:pPr>
              <w:spacing w:after="0" w:line="240" w:lineRule="auto"/>
              <w:rPr>
                <w:lang w:val="en-US"/>
              </w:rPr>
            </w:pPr>
            <w:r w:rsidRPr="00CB6840">
              <w:rPr>
                <w:lang w:val="en-US"/>
              </w:rPr>
              <w:t>The amount of informal investment calculated as INFINVMEAN* BUSANG</w:t>
            </w:r>
          </w:p>
        </w:tc>
      </w:tr>
    </w:tbl>
    <w:p w:rsidR="00FB0884" w:rsidRDefault="00FB0884" w:rsidP="00FB0884">
      <w:pPr>
        <w:spacing w:line="240" w:lineRule="auto"/>
        <w:contextualSpacing/>
        <w:rPr>
          <w:rFonts w:eastAsia="Times New Roman"/>
          <w:sz w:val="24"/>
          <w:szCs w:val="24"/>
          <w:lang w:val="en-US" w:eastAsia="hu-HU"/>
        </w:rPr>
      </w:pPr>
    </w:p>
    <w:p w:rsidR="00FB0884" w:rsidRDefault="00FB0884" w:rsidP="00FB0884">
      <w:pPr>
        <w:spacing w:line="240" w:lineRule="auto"/>
        <w:contextualSpacing/>
        <w:rPr>
          <w:rFonts w:eastAsia="Times New Roman"/>
          <w:sz w:val="24"/>
          <w:szCs w:val="24"/>
          <w:lang w:val="en-US" w:eastAsia="hu-HU"/>
        </w:rPr>
      </w:pPr>
    </w:p>
    <w:p w:rsidR="00FB0884" w:rsidRDefault="00FB0884" w:rsidP="00FB0884">
      <w:pPr>
        <w:spacing w:after="200" w:line="276" w:lineRule="auto"/>
        <w:rPr>
          <w:rFonts w:eastAsia="Times New Roman"/>
          <w:sz w:val="24"/>
          <w:szCs w:val="24"/>
          <w:lang w:val="en-US" w:eastAsia="hu-HU"/>
        </w:rPr>
      </w:pPr>
      <w:r>
        <w:rPr>
          <w:rFonts w:eastAsia="Times New Roman"/>
          <w:sz w:val="24"/>
          <w:szCs w:val="24"/>
          <w:lang w:val="en-US" w:eastAsia="hu-HU"/>
        </w:rPr>
        <w:br w:type="page"/>
      </w:r>
    </w:p>
    <w:p w:rsidR="00FB0884" w:rsidRDefault="00FB0884" w:rsidP="00FB0884">
      <w:pPr>
        <w:spacing w:line="240" w:lineRule="auto"/>
        <w:contextualSpacing/>
        <w:rPr>
          <w:rFonts w:eastAsia="Times New Roman"/>
          <w:sz w:val="24"/>
          <w:szCs w:val="24"/>
          <w:lang w:val="en-US" w:eastAsia="hu-HU"/>
        </w:rPr>
        <w:sectPr w:rsidR="00FB0884" w:rsidSect="00E33C4E">
          <w:footerReference w:type="default" r:id="rId30"/>
          <w:headerReference w:type="first" r:id="rId31"/>
          <w:footerReference w:type="first" r:id="rId32"/>
          <w:pgSz w:w="11906" w:h="16838"/>
          <w:pgMar w:top="1417" w:right="1417" w:bottom="1417" w:left="1417" w:header="708" w:footer="708" w:gutter="0"/>
          <w:cols w:space="708"/>
          <w:titlePg/>
          <w:docGrid w:linePitch="360"/>
        </w:sectPr>
      </w:pPr>
    </w:p>
    <w:p w:rsidR="00FB0884" w:rsidRPr="00550E6F" w:rsidRDefault="00FF6E88" w:rsidP="00FB0884">
      <w:pPr>
        <w:spacing w:line="240" w:lineRule="auto"/>
        <w:contextualSpacing/>
        <w:rPr>
          <w:rFonts w:eastAsia="Times New Roman"/>
          <w:sz w:val="24"/>
          <w:szCs w:val="24"/>
          <w:lang w:val="en-US" w:eastAsia="hu-HU"/>
        </w:rPr>
      </w:pPr>
      <w:r w:rsidRPr="00550E6F">
        <w:rPr>
          <w:b/>
          <w:sz w:val="24"/>
          <w:szCs w:val="24"/>
          <w:lang w:val="en-US"/>
        </w:rPr>
        <w:t xml:space="preserve">Appendix 2.5 </w:t>
      </w:r>
      <w:r w:rsidR="00550E6F">
        <w:rPr>
          <w:b/>
          <w:sz w:val="24"/>
          <w:szCs w:val="24"/>
          <w:lang w:val="en-US"/>
        </w:rPr>
        <w:t>D</w:t>
      </w:r>
      <w:r w:rsidR="00FB0884" w:rsidRPr="00550E6F">
        <w:rPr>
          <w:b/>
          <w:sz w:val="24"/>
          <w:szCs w:val="24"/>
          <w:lang w:val="en-US"/>
        </w:rPr>
        <w:t>escription and source of the institutional variables used in the GEDI</w:t>
      </w:r>
    </w:p>
    <w:p w:rsidR="00FB0884" w:rsidRDefault="00FB0884" w:rsidP="00FB0884">
      <w:pPr>
        <w:rPr>
          <w:rFonts w:ascii="Times New Roman" w:hAnsi="Times New Roman"/>
          <w:b/>
          <w:i/>
          <w:sz w:val="24"/>
          <w:szCs w:val="24"/>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5671"/>
        <w:gridCol w:w="1701"/>
        <w:gridCol w:w="5134"/>
      </w:tblGrid>
      <w:tr w:rsidR="00FB0884" w:rsidRPr="00CB6840" w:rsidTr="00FB0884">
        <w:trPr>
          <w:trHeight w:val="144"/>
          <w:jc w:val="center"/>
        </w:trPr>
        <w:tc>
          <w:tcPr>
            <w:tcW w:w="588" w:type="pct"/>
          </w:tcPr>
          <w:p w:rsidR="00FB0884" w:rsidRPr="00CB6840" w:rsidRDefault="00FB0884" w:rsidP="00FB0884">
            <w:pPr>
              <w:spacing w:after="0" w:line="240" w:lineRule="auto"/>
              <w:rPr>
                <w:b/>
                <w:lang w:val="en-US"/>
              </w:rPr>
            </w:pPr>
            <w:r w:rsidRPr="00CB6840">
              <w:rPr>
                <w:b/>
                <w:lang w:val="en-US"/>
              </w:rPr>
              <w:t>Institutional Variable</w:t>
            </w:r>
          </w:p>
        </w:tc>
        <w:tc>
          <w:tcPr>
            <w:tcW w:w="2000" w:type="pct"/>
          </w:tcPr>
          <w:p w:rsidR="00FB0884" w:rsidRPr="00CB6840" w:rsidRDefault="00FB0884" w:rsidP="00FB0884">
            <w:pPr>
              <w:spacing w:after="0" w:line="240" w:lineRule="auto"/>
              <w:jc w:val="center"/>
              <w:rPr>
                <w:b/>
                <w:lang w:val="en-US"/>
              </w:rPr>
            </w:pPr>
            <w:r w:rsidRPr="00CB6840">
              <w:rPr>
                <w:b/>
                <w:lang w:val="en-US"/>
              </w:rPr>
              <w:t xml:space="preserve">Description </w:t>
            </w:r>
          </w:p>
        </w:tc>
        <w:tc>
          <w:tcPr>
            <w:tcW w:w="600" w:type="pct"/>
            <w:vAlign w:val="center"/>
          </w:tcPr>
          <w:p w:rsidR="00FB0884" w:rsidRPr="00CB6840" w:rsidRDefault="00FB0884" w:rsidP="00FB0884">
            <w:pPr>
              <w:spacing w:after="0" w:line="240" w:lineRule="auto"/>
              <w:jc w:val="center"/>
              <w:rPr>
                <w:b/>
                <w:lang w:val="en-US"/>
              </w:rPr>
            </w:pPr>
            <w:r w:rsidRPr="00CB6840">
              <w:rPr>
                <w:b/>
                <w:lang w:val="en-US"/>
              </w:rPr>
              <w:t>Source</w:t>
            </w:r>
          </w:p>
          <w:p w:rsidR="00FB0884" w:rsidRPr="00CB6840" w:rsidRDefault="00FB0884" w:rsidP="00FB0884">
            <w:pPr>
              <w:spacing w:after="0" w:line="240" w:lineRule="auto"/>
              <w:jc w:val="center"/>
              <w:rPr>
                <w:b/>
                <w:lang w:val="en-US"/>
              </w:rPr>
            </w:pPr>
            <w:r w:rsidRPr="00CB6840">
              <w:rPr>
                <w:b/>
                <w:lang w:val="en-US"/>
              </w:rPr>
              <w:t>of Data</w:t>
            </w:r>
          </w:p>
        </w:tc>
        <w:tc>
          <w:tcPr>
            <w:tcW w:w="1811" w:type="pct"/>
            <w:vAlign w:val="center"/>
          </w:tcPr>
          <w:p w:rsidR="00FB0884" w:rsidRPr="00CB6840" w:rsidRDefault="00FB0884" w:rsidP="00FB0884">
            <w:pPr>
              <w:spacing w:after="0" w:line="240" w:lineRule="auto"/>
              <w:jc w:val="center"/>
              <w:rPr>
                <w:b/>
                <w:lang w:val="en-US"/>
              </w:rPr>
            </w:pPr>
            <w:r w:rsidRPr="00CB6840">
              <w:rPr>
                <w:b/>
                <w:lang w:val="en-US"/>
              </w:rPr>
              <w:t>Data Availability</w:t>
            </w:r>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 xml:space="preserve">Domestic Market </w:t>
            </w:r>
          </w:p>
        </w:tc>
        <w:tc>
          <w:tcPr>
            <w:tcW w:w="2000" w:type="pct"/>
          </w:tcPr>
          <w:p w:rsidR="00FB0884" w:rsidRPr="00CB6840" w:rsidRDefault="00FB0884" w:rsidP="00FB0884">
            <w:pPr>
              <w:autoSpaceDE w:val="0"/>
              <w:autoSpaceDN w:val="0"/>
              <w:adjustRightInd w:val="0"/>
              <w:spacing w:after="0" w:line="240" w:lineRule="auto"/>
              <w:jc w:val="both"/>
              <w:rPr>
                <w:lang w:val="en-US"/>
              </w:rPr>
            </w:pPr>
            <w:r w:rsidRPr="00CB6840">
              <w:rPr>
                <w:lang w:val="en-US"/>
              </w:rPr>
              <w:t>Domestic market size that is the sum of gross domestic product plus value of imports of goods and services, minus value of exports of goods and services, normalized on a 1–7 (best) scale data are from the World Economic Forum Competitiveness</w:t>
            </w:r>
          </w:p>
        </w:tc>
        <w:tc>
          <w:tcPr>
            <w:tcW w:w="600" w:type="pct"/>
            <w:vAlign w:val="center"/>
          </w:tcPr>
          <w:p w:rsidR="00FB0884" w:rsidRPr="00CB6840" w:rsidRDefault="00FB0884" w:rsidP="00FB0884">
            <w:pPr>
              <w:spacing w:after="0" w:line="240" w:lineRule="auto"/>
              <w:jc w:val="center"/>
              <w:rPr>
                <w:lang w:val="en-US"/>
              </w:rPr>
            </w:pPr>
            <w:r w:rsidRPr="00CB6840">
              <w:rPr>
                <w:lang w:val="en-US"/>
              </w:rPr>
              <w:t>World Economic Forum</w:t>
            </w:r>
          </w:p>
        </w:tc>
        <w:tc>
          <w:tcPr>
            <w:tcW w:w="1811" w:type="pct"/>
            <w:vAlign w:val="center"/>
          </w:tcPr>
          <w:p w:rsidR="00FB0884" w:rsidRPr="00CB6840" w:rsidRDefault="00FB0884" w:rsidP="00FB0884">
            <w:pPr>
              <w:spacing w:after="0" w:line="240" w:lineRule="auto"/>
              <w:jc w:val="center"/>
              <w:rPr>
                <w:lang w:val="en-US"/>
              </w:rPr>
            </w:pPr>
            <w:r w:rsidRPr="00CB6840">
              <w:rPr>
                <w:lang w:val="en-US"/>
              </w:rPr>
              <w:t>The Gl</w:t>
            </w:r>
            <w:r>
              <w:rPr>
                <w:lang w:val="en-US"/>
              </w:rPr>
              <w:t>obal Competitiveness Report 2014-2015</w:t>
            </w:r>
            <w:r w:rsidRPr="00CB6840">
              <w:rPr>
                <w:lang w:val="en-US"/>
              </w:rPr>
              <w:t>, p. 51</w:t>
            </w:r>
            <w:r>
              <w:rPr>
                <w:lang w:val="en-US"/>
              </w:rPr>
              <w:t>4</w:t>
            </w:r>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Urbanization</w:t>
            </w:r>
          </w:p>
        </w:tc>
        <w:tc>
          <w:tcPr>
            <w:tcW w:w="2000" w:type="pct"/>
          </w:tcPr>
          <w:p w:rsidR="00FB0884" w:rsidRPr="00CB6840" w:rsidRDefault="00FB0884" w:rsidP="00FB0884">
            <w:pPr>
              <w:spacing w:after="0" w:line="240" w:lineRule="auto"/>
              <w:jc w:val="both"/>
              <w:rPr>
                <w:lang w:val="en-US"/>
              </w:rPr>
            </w:pPr>
            <w:r w:rsidRPr="00CB6840">
              <w:rPr>
                <w:lang w:val="en-US"/>
              </w:rPr>
              <w:t xml:space="preserve">Urbanization that is the percentage of the population living in urban areas, data are from the Population Division of the United Nations, </w:t>
            </w:r>
            <w:r>
              <w:rPr>
                <w:lang w:val="en-US"/>
              </w:rPr>
              <w:t>2014</w:t>
            </w:r>
            <w:r w:rsidRPr="00CB6840">
              <w:rPr>
                <w:lang w:val="en-US"/>
              </w:rPr>
              <w:t xml:space="preserve"> revision</w:t>
            </w:r>
          </w:p>
        </w:tc>
        <w:tc>
          <w:tcPr>
            <w:tcW w:w="600" w:type="pct"/>
            <w:vAlign w:val="center"/>
          </w:tcPr>
          <w:p w:rsidR="00FB0884" w:rsidRPr="00CB6840" w:rsidRDefault="00FB0884" w:rsidP="00FB0884">
            <w:pPr>
              <w:spacing w:after="0" w:line="240" w:lineRule="auto"/>
              <w:jc w:val="center"/>
              <w:rPr>
                <w:lang w:val="en-US"/>
              </w:rPr>
            </w:pPr>
            <w:r w:rsidRPr="00CB6840">
              <w:rPr>
                <w:lang w:val="en-US"/>
              </w:rPr>
              <w:t>United Nations</w:t>
            </w:r>
          </w:p>
        </w:tc>
        <w:tc>
          <w:tcPr>
            <w:tcW w:w="1811" w:type="pct"/>
            <w:vAlign w:val="center"/>
          </w:tcPr>
          <w:p w:rsidR="00FB0884" w:rsidRPr="00CB6840" w:rsidRDefault="00FB0884" w:rsidP="00FB0884">
            <w:pPr>
              <w:spacing w:after="0" w:line="240" w:lineRule="auto"/>
              <w:jc w:val="center"/>
              <w:rPr>
                <w:lang w:val="en-US"/>
              </w:rPr>
            </w:pPr>
            <w:r w:rsidRPr="009721EB">
              <w:rPr>
                <w:lang w:val="en-US"/>
              </w:rPr>
              <w:t>http://esa.un.org/unpd/wup/DataSources/</w:t>
            </w:r>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Market Agglomeration</w:t>
            </w:r>
          </w:p>
        </w:tc>
        <w:tc>
          <w:tcPr>
            <w:tcW w:w="2000" w:type="pct"/>
          </w:tcPr>
          <w:p w:rsidR="00FB0884" w:rsidRPr="00CB6840" w:rsidRDefault="00FB0884" w:rsidP="00FB0884">
            <w:pPr>
              <w:autoSpaceDE w:val="0"/>
              <w:autoSpaceDN w:val="0"/>
              <w:adjustRightInd w:val="0"/>
              <w:spacing w:after="0" w:line="240" w:lineRule="auto"/>
              <w:jc w:val="both"/>
              <w:rPr>
                <w:lang w:val="en-US"/>
              </w:rPr>
            </w:pPr>
            <w:r w:rsidRPr="00CB6840">
              <w:rPr>
                <w:lang w:val="en-US"/>
              </w:rPr>
              <w:t>The size of the market: a combined measure of the domestic market size and the urbanization that later measures the potential agglomeration effect. Calculated as domestic market urbanization*</w:t>
            </w:r>
          </w:p>
        </w:tc>
        <w:tc>
          <w:tcPr>
            <w:tcW w:w="600" w:type="pct"/>
            <w:vAlign w:val="center"/>
          </w:tcPr>
          <w:p w:rsidR="00FB0884" w:rsidRPr="00CB6840" w:rsidRDefault="00FB0884" w:rsidP="00FB0884">
            <w:pPr>
              <w:spacing w:after="0" w:line="240" w:lineRule="auto"/>
              <w:jc w:val="center"/>
              <w:rPr>
                <w:lang w:val="en-US"/>
              </w:rPr>
            </w:pPr>
          </w:p>
          <w:p w:rsidR="00FB0884" w:rsidRPr="00CB6840" w:rsidRDefault="00FB0884" w:rsidP="00FB0884">
            <w:pPr>
              <w:spacing w:after="0" w:line="240" w:lineRule="auto"/>
              <w:jc w:val="center"/>
              <w:rPr>
                <w:lang w:val="en-US"/>
              </w:rPr>
            </w:pPr>
            <w:r w:rsidRPr="00CB6840">
              <w:rPr>
                <w:lang w:val="en-US"/>
              </w:rPr>
              <w:t>Own calculation</w:t>
            </w:r>
          </w:p>
        </w:tc>
        <w:tc>
          <w:tcPr>
            <w:tcW w:w="1811" w:type="pct"/>
            <w:vAlign w:val="center"/>
          </w:tcPr>
          <w:p w:rsidR="00FB0884" w:rsidRPr="00CB6840" w:rsidRDefault="00FB0884" w:rsidP="00FB0884">
            <w:pPr>
              <w:spacing w:after="0" w:line="240" w:lineRule="auto"/>
              <w:jc w:val="center"/>
              <w:rPr>
                <w:lang w:val="en-US"/>
              </w:rPr>
            </w:pPr>
          </w:p>
          <w:p w:rsidR="00FB0884" w:rsidRPr="00CB6840" w:rsidRDefault="00FB0884" w:rsidP="00FB0884">
            <w:pPr>
              <w:spacing w:after="0" w:line="240" w:lineRule="auto"/>
              <w:jc w:val="center"/>
              <w:rPr>
                <w:lang w:val="en-US"/>
              </w:rPr>
            </w:pPr>
            <w:r w:rsidRPr="00CB6840">
              <w:rPr>
                <w:lang w:val="en-US"/>
              </w:rPr>
              <w:t>-</w:t>
            </w:r>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Tertiary Education</w:t>
            </w:r>
          </w:p>
        </w:tc>
        <w:tc>
          <w:tcPr>
            <w:tcW w:w="2000" w:type="pct"/>
          </w:tcPr>
          <w:p w:rsidR="00FB0884" w:rsidRPr="00CB6840" w:rsidRDefault="00FB0884" w:rsidP="00FB0884">
            <w:pPr>
              <w:spacing w:after="0" w:line="240" w:lineRule="auto"/>
              <w:jc w:val="both"/>
              <w:rPr>
                <w:lang w:val="en-US"/>
              </w:rPr>
            </w:pPr>
            <w:r w:rsidRPr="00CB6840">
              <w:rPr>
                <w:lang w:val="en-US"/>
              </w:rPr>
              <w:t>Gross enrolment r</w:t>
            </w:r>
            <w:r>
              <w:rPr>
                <w:lang w:val="en-US"/>
              </w:rPr>
              <w:t>atio in tertiary education, 2013</w:t>
            </w:r>
            <w:r w:rsidRPr="00CB6840">
              <w:rPr>
                <w:lang w:val="en-US"/>
              </w:rPr>
              <w:t xml:space="preserve"> or latest available data.</w:t>
            </w:r>
          </w:p>
        </w:tc>
        <w:tc>
          <w:tcPr>
            <w:tcW w:w="600" w:type="pct"/>
            <w:vAlign w:val="center"/>
          </w:tcPr>
          <w:p w:rsidR="00FB0884" w:rsidRPr="00CB6840" w:rsidRDefault="00FB0884" w:rsidP="00FB0884">
            <w:pPr>
              <w:spacing w:after="0" w:line="240" w:lineRule="auto"/>
              <w:jc w:val="center"/>
              <w:rPr>
                <w:lang w:val="en-US"/>
              </w:rPr>
            </w:pPr>
            <w:r w:rsidRPr="00CB6840">
              <w:rPr>
                <w:lang w:val="en-US"/>
              </w:rPr>
              <w:t>UNESCO</w:t>
            </w:r>
          </w:p>
        </w:tc>
        <w:tc>
          <w:tcPr>
            <w:tcW w:w="1811" w:type="pct"/>
            <w:vAlign w:val="center"/>
          </w:tcPr>
          <w:p w:rsidR="00FB0884" w:rsidRPr="00CB6840" w:rsidRDefault="00FB0884" w:rsidP="00FB0884">
            <w:pPr>
              <w:spacing w:after="0" w:line="240" w:lineRule="auto"/>
              <w:jc w:val="center"/>
              <w:rPr>
                <w:lang w:val="en-US"/>
              </w:rPr>
            </w:pPr>
            <w:r w:rsidRPr="009721EB">
              <w:t>http://data.uis.unesco.org/?queryid=142</w:t>
            </w:r>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Business Risk</w:t>
            </w:r>
          </w:p>
        </w:tc>
        <w:tc>
          <w:tcPr>
            <w:tcW w:w="2000" w:type="pct"/>
          </w:tcPr>
          <w:p w:rsidR="00FB0884" w:rsidRPr="00CB6840" w:rsidRDefault="00FB0884" w:rsidP="00FB0884">
            <w:pPr>
              <w:spacing w:after="0" w:line="240" w:lineRule="auto"/>
              <w:jc w:val="both"/>
              <w:rPr>
                <w:lang w:val="en-US"/>
              </w:rPr>
            </w:pPr>
            <w:r w:rsidRPr="00CB6840">
              <w:rPr>
                <w:lang w:val="en-US"/>
              </w:rPr>
              <w:t xml:space="preserve">The business climate rate “assesses the overall business environment quality in a country…It reflects whether corporate financial information is available and reliable, whether the legal system provides fair and efficient creditor protection, and whether a country’s institutional framework is favorable to intercompany transactions” (http://www.trading-safely.com/). It is a part of the country risk rate. The alphabetical rating is turned to a seven-point Likert scale from 1 (D rating) to </w:t>
            </w:r>
            <w:r>
              <w:rPr>
                <w:lang w:val="en-US"/>
              </w:rPr>
              <w:t>7 (A1 rating). December 31, 2014</w:t>
            </w:r>
            <w:r w:rsidRPr="00CB6840">
              <w:rPr>
                <w:lang w:val="en-US"/>
              </w:rPr>
              <w:t xml:space="preserve"> data</w:t>
            </w:r>
          </w:p>
        </w:tc>
        <w:tc>
          <w:tcPr>
            <w:tcW w:w="600" w:type="pct"/>
            <w:vAlign w:val="center"/>
          </w:tcPr>
          <w:p w:rsidR="00FB0884" w:rsidRPr="00CB6840" w:rsidRDefault="00FB0884" w:rsidP="00FB0884">
            <w:pPr>
              <w:spacing w:after="0" w:line="240" w:lineRule="auto"/>
              <w:jc w:val="center"/>
              <w:rPr>
                <w:lang w:val="en-US"/>
              </w:rPr>
            </w:pPr>
            <w:proofErr w:type="spellStart"/>
            <w:r w:rsidRPr="00CB6840">
              <w:rPr>
                <w:lang w:val="en-US"/>
              </w:rPr>
              <w:t>Coface</w:t>
            </w:r>
            <w:proofErr w:type="spellEnd"/>
          </w:p>
        </w:tc>
        <w:tc>
          <w:tcPr>
            <w:tcW w:w="1811" w:type="pct"/>
            <w:vAlign w:val="center"/>
          </w:tcPr>
          <w:p w:rsidR="00FB0884" w:rsidRPr="00CB6840" w:rsidRDefault="00FB0884" w:rsidP="00FB0884">
            <w:pPr>
              <w:spacing w:after="0" w:line="240" w:lineRule="auto"/>
              <w:jc w:val="center"/>
              <w:rPr>
                <w:lang w:val="en-US"/>
              </w:rPr>
            </w:pPr>
          </w:p>
          <w:p w:rsidR="00FB0884" w:rsidRPr="00CB6840" w:rsidRDefault="00FB0884" w:rsidP="00FB0884">
            <w:pPr>
              <w:spacing w:after="0" w:line="240" w:lineRule="auto"/>
              <w:jc w:val="center"/>
              <w:rPr>
                <w:lang w:val="en-US"/>
              </w:rPr>
            </w:pPr>
            <w:r w:rsidRPr="009721EB">
              <w:rPr>
                <w:lang w:val="en-US"/>
              </w:rPr>
              <w:t>http://www.coface.com/Economic-Studies-and-Country-Risks/Comparative-table-of-country-assessments</w:t>
            </w:r>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Internet Usage</w:t>
            </w:r>
          </w:p>
        </w:tc>
        <w:tc>
          <w:tcPr>
            <w:tcW w:w="2000" w:type="pct"/>
          </w:tcPr>
          <w:p w:rsidR="00FB0884" w:rsidRPr="00CB6840" w:rsidRDefault="00FB0884" w:rsidP="00FB0884">
            <w:pPr>
              <w:spacing w:after="0" w:line="240" w:lineRule="auto"/>
              <w:jc w:val="both"/>
              <w:rPr>
                <w:lang w:val="en-US"/>
              </w:rPr>
            </w:pPr>
            <w:r w:rsidRPr="00CB6840">
              <w:rPr>
                <w:lang w:val="en-US"/>
              </w:rPr>
              <w:t>The number of Internet users in a particular c</w:t>
            </w:r>
            <w:r>
              <w:rPr>
                <w:lang w:val="en-US"/>
              </w:rPr>
              <w:t>ountry per 100 inhabitants, 2014</w:t>
            </w:r>
            <w:r w:rsidRPr="00CB6840">
              <w:rPr>
                <w:lang w:val="en-US"/>
              </w:rPr>
              <w:t xml:space="preserve"> data</w:t>
            </w:r>
          </w:p>
          <w:p w:rsidR="00FB0884" w:rsidRPr="00CB6840" w:rsidRDefault="00FB0884" w:rsidP="00FB0884">
            <w:pPr>
              <w:spacing w:after="0" w:line="240" w:lineRule="auto"/>
              <w:jc w:val="both"/>
              <w:rPr>
                <w:lang w:val="en-US"/>
              </w:rPr>
            </w:pPr>
          </w:p>
        </w:tc>
        <w:tc>
          <w:tcPr>
            <w:tcW w:w="600" w:type="pct"/>
            <w:vAlign w:val="center"/>
          </w:tcPr>
          <w:p w:rsidR="00FB0884" w:rsidRPr="00CB6840" w:rsidRDefault="00FB0884" w:rsidP="00FB0884">
            <w:pPr>
              <w:spacing w:after="0" w:line="240" w:lineRule="auto"/>
              <w:jc w:val="center"/>
              <w:rPr>
                <w:lang w:val="en-US"/>
              </w:rPr>
            </w:pPr>
            <w:r w:rsidRPr="00CB6840">
              <w:rPr>
                <w:lang w:val="en-US"/>
              </w:rPr>
              <w:t>International Telecommunication Union</w:t>
            </w:r>
          </w:p>
        </w:tc>
        <w:tc>
          <w:tcPr>
            <w:tcW w:w="1811" w:type="pct"/>
            <w:vAlign w:val="center"/>
          </w:tcPr>
          <w:p w:rsidR="00FB0884" w:rsidRPr="00CB6840" w:rsidRDefault="00FB0884" w:rsidP="00FB0884">
            <w:pPr>
              <w:spacing w:after="0" w:line="240" w:lineRule="auto"/>
              <w:jc w:val="center"/>
              <w:rPr>
                <w:lang w:val="en-US"/>
              </w:rPr>
            </w:pPr>
            <w:r w:rsidRPr="00CB6840">
              <w:rPr>
                <w:lang w:val="en-US"/>
              </w:rPr>
              <w:t>http://www.itu.int/en/ITU-D/Statistics/Pages/stat/default.aspx</w:t>
            </w:r>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Corruption</w:t>
            </w:r>
          </w:p>
        </w:tc>
        <w:tc>
          <w:tcPr>
            <w:tcW w:w="2000" w:type="pct"/>
          </w:tcPr>
          <w:p w:rsidR="00FB0884" w:rsidRPr="00CB6840" w:rsidRDefault="00FB0884" w:rsidP="00FB0884">
            <w:pPr>
              <w:spacing w:after="0" w:line="240" w:lineRule="auto"/>
              <w:jc w:val="both"/>
              <w:rPr>
                <w:lang w:val="en-US"/>
              </w:rPr>
            </w:pPr>
            <w:r w:rsidRPr="00CB6840">
              <w:rPr>
                <w:lang w:val="en-US"/>
              </w:rPr>
              <w:t>The Corruption Perceptions Index (</w:t>
            </w:r>
            <w:smartTag w:uri="urn:schemas-microsoft-com:office:smarttags" w:element="stockticker">
              <w:r w:rsidRPr="00CB6840">
                <w:rPr>
                  <w:lang w:val="en-US"/>
                </w:rPr>
                <w:t>CPI</w:t>
              </w:r>
            </w:smartTag>
            <w:r w:rsidRPr="00CB6840">
              <w:rPr>
                <w:lang w:val="en-US"/>
              </w:rPr>
              <w:t xml:space="preserve">) measures the perceived level of public-sector corruption in a country. “The </w:t>
            </w:r>
            <w:smartTag w:uri="urn:schemas-microsoft-com:office:smarttags" w:element="stockticker">
              <w:r w:rsidRPr="00CB6840">
                <w:rPr>
                  <w:lang w:val="en-US"/>
                </w:rPr>
                <w:t>CPI</w:t>
              </w:r>
            </w:smartTag>
            <w:r w:rsidRPr="00CB6840">
              <w:rPr>
                <w:lang w:val="en-US"/>
              </w:rPr>
              <w:t xml:space="preserve"> is a ‘survey of surveys’, based on 13 different expert and business surveys.” (http://www.transparency.org/policy_research/surveys_indices/cpi/2009 ) Overall performance is measured on a ten-point </w:t>
            </w:r>
            <w:r>
              <w:rPr>
                <w:lang w:val="en-US"/>
              </w:rPr>
              <w:t>Likert scale. Data are from 2014</w:t>
            </w:r>
            <w:r w:rsidRPr="00CB6840">
              <w:rPr>
                <w:lang w:val="en-US"/>
              </w:rPr>
              <w:t>.</w:t>
            </w:r>
          </w:p>
        </w:tc>
        <w:tc>
          <w:tcPr>
            <w:tcW w:w="600" w:type="pct"/>
            <w:vAlign w:val="center"/>
          </w:tcPr>
          <w:p w:rsidR="00FB0884" w:rsidRPr="00CB6840" w:rsidRDefault="00FB0884" w:rsidP="00FB0884">
            <w:pPr>
              <w:spacing w:after="0" w:line="240" w:lineRule="auto"/>
              <w:jc w:val="center"/>
              <w:rPr>
                <w:lang w:val="en-US"/>
              </w:rPr>
            </w:pPr>
            <w:r w:rsidRPr="00CB6840">
              <w:rPr>
                <w:lang w:val="en-US"/>
              </w:rPr>
              <w:t>Transparency International</w:t>
            </w:r>
          </w:p>
        </w:tc>
        <w:tc>
          <w:tcPr>
            <w:tcW w:w="1811" w:type="pct"/>
            <w:vAlign w:val="center"/>
          </w:tcPr>
          <w:p w:rsidR="00FB0884" w:rsidRPr="00CB6840" w:rsidRDefault="00FB0884" w:rsidP="00FB0884">
            <w:pPr>
              <w:spacing w:after="0" w:line="240" w:lineRule="auto"/>
              <w:jc w:val="center"/>
              <w:rPr>
                <w:lang w:val="en-US"/>
              </w:rPr>
            </w:pPr>
            <w:r w:rsidRPr="009721EB">
              <w:rPr>
                <w:lang w:val="en-US"/>
              </w:rPr>
              <w:t>http://www.transparency.org/cpi2014</w:t>
            </w:r>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Economic Freedom</w:t>
            </w:r>
          </w:p>
        </w:tc>
        <w:tc>
          <w:tcPr>
            <w:tcW w:w="2000" w:type="pct"/>
          </w:tcPr>
          <w:p w:rsidR="00FB0884" w:rsidRPr="00CB6840" w:rsidRDefault="00FB0884" w:rsidP="00FB0884">
            <w:pPr>
              <w:spacing w:after="0" w:line="240" w:lineRule="auto"/>
              <w:jc w:val="both"/>
              <w:rPr>
                <w:lang w:val="en-US"/>
              </w:rPr>
            </w:pPr>
            <w:r w:rsidRPr="00CB6840">
              <w:rPr>
                <w:lang w:val="en-US"/>
              </w:rPr>
              <w:t xml:space="preserve">“Business freedom is a quantitative measure of the ability to start, operate, and close a business that represents the overall burden of regulation, as well as the efficiency of government in the regulatory process. The business freedom score for each country is a number between 0 and 100, with 100 equaling the freest business environment. The score is based on 10 factors, all weighted equally, using data from the World Bank’s </w:t>
            </w:r>
            <w:r w:rsidRPr="00CB6840">
              <w:rPr>
                <w:i/>
                <w:iCs/>
                <w:lang w:val="en-US"/>
              </w:rPr>
              <w:t xml:space="preserve">Doing Business </w:t>
            </w:r>
            <w:r w:rsidRPr="00CB6840">
              <w:rPr>
                <w:lang w:val="en-US"/>
              </w:rPr>
              <w:t>study.” (</w:t>
            </w:r>
            <w:hyperlink r:id="rId33" w:history="1">
              <w:r w:rsidRPr="00CB6840">
                <w:rPr>
                  <w:rStyle w:val="Hyperlink"/>
                  <w:lang w:val="en-US"/>
                </w:rPr>
                <w:t>http://www.heritage.org/Index/pdf/Index09_Methodology.pdf</w:t>
              </w:r>
            </w:hyperlink>
            <w:r>
              <w:rPr>
                <w:lang w:val="en-US"/>
              </w:rPr>
              <w:t>). Data are from 2013</w:t>
            </w:r>
            <w:r w:rsidRPr="00CB6840">
              <w:rPr>
                <w:lang w:val="en-US"/>
              </w:rPr>
              <w:t xml:space="preserve">. </w:t>
            </w:r>
          </w:p>
        </w:tc>
        <w:tc>
          <w:tcPr>
            <w:tcW w:w="600" w:type="pct"/>
            <w:vAlign w:val="center"/>
          </w:tcPr>
          <w:p w:rsidR="00FB0884" w:rsidRPr="00CB6840" w:rsidRDefault="00FB0884" w:rsidP="00FB0884">
            <w:pPr>
              <w:spacing w:after="0" w:line="240" w:lineRule="auto"/>
              <w:jc w:val="center"/>
              <w:rPr>
                <w:lang w:val="en-US"/>
              </w:rPr>
            </w:pPr>
          </w:p>
          <w:p w:rsidR="00FB0884" w:rsidRPr="00CB6840" w:rsidRDefault="00FB0884" w:rsidP="00FB0884">
            <w:pPr>
              <w:spacing w:after="0" w:line="240" w:lineRule="auto"/>
              <w:jc w:val="center"/>
              <w:rPr>
                <w:lang w:val="en-US"/>
              </w:rPr>
            </w:pPr>
            <w:r w:rsidRPr="00CB6840">
              <w:rPr>
                <w:lang w:val="en-US"/>
              </w:rPr>
              <w:t>Heritage Foundation/</w:t>
            </w:r>
          </w:p>
          <w:p w:rsidR="00FB0884" w:rsidRPr="00CB6840" w:rsidRDefault="00FB0884" w:rsidP="00FB0884">
            <w:pPr>
              <w:spacing w:after="0" w:line="240" w:lineRule="auto"/>
              <w:jc w:val="center"/>
              <w:rPr>
                <w:lang w:val="en-US"/>
              </w:rPr>
            </w:pPr>
            <w:r w:rsidRPr="00CB6840">
              <w:rPr>
                <w:lang w:val="en-US"/>
              </w:rPr>
              <w:t>World Bank</w:t>
            </w:r>
          </w:p>
        </w:tc>
        <w:tc>
          <w:tcPr>
            <w:tcW w:w="1811" w:type="pct"/>
            <w:vAlign w:val="center"/>
          </w:tcPr>
          <w:p w:rsidR="00FB0884" w:rsidRPr="00CB6840" w:rsidRDefault="00FB0884" w:rsidP="00FB0884">
            <w:pPr>
              <w:spacing w:after="0" w:line="240" w:lineRule="auto"/>
              <w:jc w:val="center"/>
              <w:rPr>
                <w:lang w:val="en-US"/>
              </w:rPr>
            </w:pPr>
          </w:p>
          <w:p w:rsidR="00FB0884" w:rsidRPr="00CB6840" w:rsidRDefault="00FB0884" w:rsidP="00FB0884">
            <w:pPr>
              <w:spacing w:after="0" w:line="240" w:lineRule="auto"/>
              <w:jc w:val="center"/>
              <w:rPr>
                <w:lang w:val="en-US"/>
              </w:rPr>
            </w:pPr>
            <w:r w:rsidRPr="00CB6840">
              <w:rPr>
                <w:lang w:val="en-US"/>
              </w:rPr>
              <w:t>http://www.heritage.org/index/explore</w:t>
            </w:r>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Tech Absorption</w:t>
            </w:r>
          </w:p>
        </w:tc>
        <w:tc>
          <w:tcPr>
            <w:tcW w:w="2000" w:type="pct"/>
          </w:tcPr>
          <w:p w:rsidR="00FB0884" w:rsidRPr="00CB6840" w:rsidRDefault="00FB0884" w:rsidP="00FB0884">
            <w:pPr>
              <w:spacing w:after="0" w:line="240" w:lineRule="auto"/>
              <w:jc w:val="both"/>
              <w:rPr>
                <w:lang w:val="en-US"/>
              </w:rPr>
            </w:pPr>
            <w:r w:rsidRPr="00CB6840">
              <w:rPr>
                <w:lang w:val="en-US"/>
              </w:rPr>
              <w:t>Firm-level technology absorption capability: “Companies in your country are (1 = not able to absorb new technology, 7 = aggressive in absorbing new technology)”</w:t>
            </w:r>
          </w:p>
        </w:tc>
        <w:tc>
          <w:tcPr>
            <w:tcW w:w="600" w:type="pct"/>
            <w:vAlign w:val="center"/>
          </w:tcPr>
          <w:p w:rsidR="00FB0884" w:rsidRPr="00CB6840" w:rsidRDefault="00FB0884" w:rsidP="00FB0884">
            <w:pPr>
              <w:spacing w:after="0" w:line="240" w:lineRule="auto"/>
              <w:jc w:val="center"/>
              <w:rPr>
                <w:lang w:val="en-US"/>
              </w:rPr>
            </w:pPr>
            <w:r w:rsidRPr="00CB6840">
              <w:rPr>
                <w:lang w:val="en-US"/>
              </w:rPr>
              <w:t>World Economic Forum</w:t>
            </w:r>
          </w:p>
        </w:tc>
        <w:tc>
          <w:tcPr>
            <w:tcW w:w="1811" w:type="pct"/>
            <w:vAlign w:val="center"/>
          </w:tcPr>
          <w:p w:rsidR="00FB0884" w:rsidRPr="00CB6840" w:rsidRDefault="00FB0884" w:rsidP="00FB0884">
            <w:pPr>
              <w:spacing w:after="0" w:line="240" w:lineRule="auto"/>
              <w:jc w:val="center"/>
              <w:rPr>
                <w:lang w:val="en-US"/>
              </w:rPr>
            </w:pPr>
            <w:r w:rsidRPr="00CB6840">
              <w:rPr>
                <w:lang w:val="en-US"/>
              </w:rPr>
              <w:t>The Gl</w:t>
            </w:r>
            <w:r>
              <w:rPr>
                <w:lang w:val="en-US"/>
              </w:rPr>
              <w:t>obal Competitiveness Report 2014-2015</w:t>
            </w:r>
            <w:r w:rsidRPr="00CB6840">
              <w:rPr>
                <w:lang w:val="en-US"/>
              </w:rPr>
              <w:t>, p. 5</w:t>
            </w:r>
            <w:r>
              <w:rPr>
                <w:lang w:val="en-US"/>
              </w:rPr>
              <w:t>07</w:t>
            </w:r>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Staff Training</w:t>
            </w:r>
          </w:p>
        </w:tc>
        <w:tc>
          <w:tcPr>
            <w:tcW w:w="2000" w:type="pct"/>
          </w:tcPr>
          <w:p w:rsidR="00FB0884" w:rsidRPr="00CB6840" w:rsidRDefault="00FB0884" w:rsidP="00FB0884">
            <w:pPr>
              <w:spacing w:after="0" w:line="240" w:lineRule="auto"/>
              <w:jc w:val="both"/>
              <w:rPr>
                <w:lang w:val="en-US"/>
              </w:rPr>
            </w:pPr>
            <w:r w:rsidRPr="00CB6840">
              <w:rPr>
                <w:lang w:val="en-US"/>
              </w:rPr>
              <w:t>The extent of staff training: “To what extent do companies in your country invest in training and employee development? (1 = hardly at all; 7 = to a great extent)”</w:t>
            </w:r>
          </w:p>
        </w:tc>
        <w:tc>
          <w:tcPr>
            <w:tcW w:w="600" w:type="pct"/>
            <w:vAlign w:val="center"/>
          </w:tcPr>
          <w:p w:rsidR="00FB0884" w:rsidRPr="00CB6840" w:rsidRDefault="00FB0884" w:rsidP="00FB0884">
            <w:pPr>
              <w:spacing w:after="0" w:line="240" w:lineRule="auto"/>
              <w:jc w:val="center"/>
              <w:rPr>
                <w:lang w:val="en-US"/>
              </w:rPr>
            </w:pPr>
            <w:r w:rsidRPr="00CB6840">
              <w:rPr>
                <w:lang w:val="en-US"/>
              </w:rPr>
              <w:t>World Economic Forum</w:t>
            </w:r>
          </w:p>
        </w:tc>
        <w:tc>
          <w:tcPr>
            <w:tcW w:w="1811" w:type="pct"/>
            <w:vAlign w:val="center"/>
          </w:tcPr>
          <w:p w:rsidR="00FB0884" w:rsidRPr="00CB6840" w:rsidRDefault="00FB0884" w:rsidP="00FB0884">
            <w:pPr>
              <w:spacing w:after="0" w:line="240" w:lineRule="auto"/>
              <w:jc w:val="center"/>
              <w:rPr>
                <w:lang w:val="en-US"/>
              </w:rPr>
            </w:pPr>
            <w:r w:rsidRPr="00CB6840">
              <w:rPr>
                <w:lang w:val="en-US"/>
              </w:rPr>
              <w:t>The Gl</w:t>
            </w:r>
            <w:r>
              <w:rPr>
                <w:lang w:val="en-US"/>
              </w:rPr>
              <w:t>obal Competitiveness Report 2014-2015</w:t>
            </w:r>
            <w:r w:rsidRPr="00CB6840">
              <w:rPr>
                <w:lang w:val="en-US"/>
              </w:rPr>
              <w:t>, p. 46</w:t>
            </w:r>
            <w:r>
              <w:rPr>
                <w:lang w:val="en-US"/>
              </w:rPr>
              <w:t>3</w:t>
            </w:r>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Market Dominance</w:t>
            </w:r>
          </w:p>
        </w:tc>
        <w:tc>
          <w:tcPr>
            <w:tcW w:w="2000" w:type="pct"/>
          </w:tcPr>
          <w:p w:rsidR="00FB0884" w:rsidRPr="00CB6840" w:rsidRDefault="00FB0884" w:rsidP="00FB0884">
            <w:pPr>
              <w:spacing w:after="0" w:line="240" w:lineRule="auto"/>
              <w:jc w:val="both"/>
              <w:rPr>
                <w:lang w:val="en-US"/>
              </w:rPr>
            </w:pPr>
            <w:r w:rsidRPr="00CB6840">
              <w:rPr>
                <w:lang w:val="en-US"/>
              </w:rPr>
              <w:t>Extent of market dominance: “Corporate activity in your country is (1 = dominated by a few business groups, 7 = spread among many firms)”</w:t>
            </w:r>
          </w:p>
        </w:tc>
        <w:tc>
          <w:tcPr>
            <w:tcW w:w="600" w:type="pct"/>
            <w:vAlign w:val="center"/>
          </w:tcPr>
          <w:p w:rsidR="00FB0884" w:rsidRPr="00CB6840" w:rsidRDefault="00FB0884" w:rsidP="00FB0884">
            <w:pPr>
              <w:spacing w:after="0" w:line="240" w:lineRule="auto"/>
              <w:jc w:val="center"/>
              <w:rPr>
                <w:lang w:val="en-US"/>
              </w:rPr>
            </w:pPr>
            <w:r w:rsidRPr="00CB6840">
              <w:rPr>
                <w:lang w:val="en-US"/>
              </w:rPr>
              <w:t>World Economic Forum</w:t>
            </w:r>
          </w:p>
        </w:tc>
        <w:tc>
          <w:tcPr>
            <w:tcW w:w="1811" w:type="pct"/>
            <w:vAlign w:val="center"/>
          </w:tcPr>
          <w:p w:rsidR="00FB0884" w:rsidRPr="00CB6840" w:rsidRDefault="00FB0884" w:rsidP="00FB0884">
            <w:pPr>
              <w:spacing w:after="0" w:line="240" w:lineRule="auto"/>
              <w:jc w:val="center"/>
              <w:rPr>
                <w:lang w:val="en-US"/>
              </w:rPr>
            </w:pPr>
            <w:r w:rsidRPr="00CB6840">
              <w:rPr>
                <w:lang w:val="en-US"/>
              </w:rPr>
              <w:t>The Gl</w:t>
            </w:r>
            <w:r>
              <w:rPr>
                <w:lang w:val="en-US"/>
              </w:rPr>
              <w:t>obal Competitiveness Report 2014</w:t>
            </w:r>
            <w:r w:rsidRPr="00CB6840">
              <w:rPr>
                <w:lang w:val="en-US"/>
              </w:rPr>
              <w:t>-201</w:t>
            </w:r>
            <w:r>
              <w:rPr>
                <w:lang w:val="en-US"/>
              </w:rPr>
              <w:t>5</w:t>
            </w:r>
            <w:r w:rsidRPr="00CB6840">
              <w:rPr>
                <w:lang w:val="en-US"/>
              </w:rPr>
              <w:t>, p. 4</w:t>
            </w:r>
            <w:r>
              <w:rPr>
                <w:lang w:val="en-US"/>
              </w:rPr>
              <w:t>6</w:t>
            </w:r>
            <w:r w:rsidRPr="00CB6840">
              <w:rPr>
                <w:lang w:val="en-US"/>
              </w:rPr>
              <w:t>7</w:t>
            </w:r>
          </w:p>
        </w:tc>
      </w:tr>
      <w:tr w:rsidR="00FB0884" w:rsidRPr="00CB6840" w:rsidTr="00FB0884">
        <w:trPr>
          <w:trHeight w:val="304"/>
          <w:jc w:val="center"/>
        </w:trPr>
        <w:tc>
          <w:tcPr>
            <w:tcW w:w="588" w:type="pct"/>
            <w:vAlign w:val="center"/>
          </w:tcPr>
          <w:p w:rsidR="00FB0884" w:rsidRPr="00CB6840" w:rsidRDefault="00FB0884" w:rsidP="00FB0884">
            <w:pPr>
              <w:spacing w:after="0" w:line="240" w:lineRule="auto"/>
              <w:rPr>
                <w:lang w:val="en-US"/>
              </w:rPr>
            </w:pPr>
            <w:r w:rsidRPr="00CB6840">
              <w:rPr>
                <w:lang w:val="en-US"/>
              </w:rPr>
              <w:t>Technology Transfer</w:t>
            </w:r>
          </w:p>
        </w:tc>
        <w:tc>
          <w:tcPr>
            <w:tcW w:w="2000" w:type="pct"/>
          </w:tcPr>
          <w:p w:rsidR="00FB0884" w:rsidRPr="00CB6840" w:rsidRDefault="00FB0884" w:rsidP="00FB0884">
            <w:pPr>
              <w:spacing w:after="0" w:line="240" w:lineRule="auto"/>
              <w:jc w:val="both"/>
              <w:rPr>
                <w:lang w:val="en-US"/>
              </w:rPr>
            </w:pPr>
            <w:r w:rsidRPr="00CB6840">
              <w:rPr>
                <w:lang w:val="en-US"/>
              </w:rPr>
              <w:t xml:space="preserve">These are the innovation index points from </w:t>
            </w:r>
            <w:smartTag w:uri="urn:schemas-microsoft-com:office:smarttags" w:element="stockticker">
              <w:r w:rsidRPr="00CB6840">
                <w:rPr>
                  <w:lang w:val="en-US"/>
                </w:rPr>
                <w:t>GCI</w:t>
              </w:r>
            </w:smartTag>
            <w:r w:rsidRPr="00CB6840">
              <w:rPr>
                <w:lang w:val="en-US"/>
              </w:rPr>
              <w:t>: a complex measure of innovation, including investment in research and development (R&amp;D) by the private sector, the presence of high-quality scientific research institutions, the collaboration in research between universities and industry, and the protection of intellectual property</w:t>
            </w:r>
          </w:p>
        </w:tc>
        <w:tc>
          <w:tcPr>
            <w:tcW w:w="600" w:type="pct"/>
            <w:vAlign w:val="center"/>
          </w:tcPr>
          <w:p w:rsidR="00FB0884" w:rsidRPr="00CB6840" w:rsidRDefault="00FB0884" w:rsidP="00FB0884">
            <w:pPr>
              <w:spacing w:after="0" w:line="240" w:lineRule="auto"/>
              <w:jc w:val="center"/>
              <w:rPr>
                <w:lang w:val="en-US"/>
              </w:rPr>
            </w:pPr>
            <w:r w:rsidRPr="00CB6840">
              <w:rPr>
                <w:lang w:val="en-US"/>
              </w:rPr>
              <w:t>World Economic Forum</w:t>
            </w:r>
          </w:p>
        </w:tc>
        <w:tc>
          <w:tcPr>
            <w:tcW w:w="1811" w:type="pct"/>
            <w:vAlign w:val="center"/>
          </w:tcPr>
          <w:p w:rsidR="00FB0884" w:rsidRPr="00CB6840" w:rsidRDefault="00FB0884" w:rsidP="00FB0884">
            <w:pPr>
              <w:spacing w:after="0" w:line="240" w:lineRule="auto"/>
              <w:jc w:val="center"/>
              <w:rPr>
                <w:lang w:val="en-US"/>
              </w:rPr>
            </w:pPr>
            <w:r w:rsidRPr="00CB6840">
              <w:rPr>
                <w:lang w:val="en-US"/>
              </w:rPr>
              <w:t>The Gl</w:t>
            </w:r>
            <w:r>
              <w:rPr>
                <w:lang w:val="en-US"/>
              </w:rPr>
              <w:t>obal Competitiveness Report 2014-2015</w:t>
            </w:r>
            <w:r w:rsidRPr="00CB6840">
              <w:rPr>
                <w:lang w:val="en-US"/>
              </w:rPr>
              <w:t>, p. 2</w:t>
            </w:r>
            <w:r>
              <w:rPr>
                <w:lang w:val="en-US"/>
              </w:rPr>
              <w:t>0</w:t>
            </w:r>
          </w:p>
        </w:tc>
      </w:tr>
      <w:tr w:rsidR="00FB0884" w:rsidRPr="00CB6840" w:rsidTr="00FB0884">
        <w:trPr>
          <w:trHeight w:val="304"/>
          <w:jc w:val="center"/>
        </w:trPr>
        <w:tc>
          <w:tcPr>
            <w:tcW w:w="588" w:type="pct"/>
            <w:vAlign w:val="center"/>
          </w:tcPr>
          <w:p w:rsidR="00FB0884" w:rsidRPr="00CB6840" w:rsidRDefault="00FB0884" w:rsidP="00FB0884">
            <w:pPr>
              <w:spacing w:after="0" w:line="240" w:lineRule="auto"/>
              <w:rPr>
                <w:lang w:val="en-US"/>
              </w:rPr>
            </w:pPr>
            <w:r w:rsidRPr="00CB6840">
              <w:rPr>
                <w:lang w:val="en-US"/>
              </w:rPr>
              <w:t>GERD</w:t>
            </w:r>
          </w:p>
        </w:tc>
        <w:tc>
          <w:tcPr>
            <w:tcW w:w="2000" w:type="pct"/>
          </w:tcPr>
          <w:p w:rsidR="00FB0884" w:rsidRPr="00CB6840" w:rsidRDefault="00FB0884" w:rsidP="00FB0884">
            <w:pPr>
              <w:spacing w:after="0" w:line="240" w:lineRule="auto"/>
              <w:jc w:val="both"/>
              <w:rPr>
                <w:lang w:val="en-US"/>
              </w:rPr>
            </w:pPr>
            <w:r w:rsidRPr="00CB6840">
              <w:rPr>
                <w:lang w:val="en-US"/>
              </w:rPr>
              <w:t xml:space="preserve">Gross domestic expenditure on R&amp;D (GERD) as a percentage of </w:t>
            </w:r>
            <w:smartTag w:uri="urn:schemas-microsoft-com:office:smarttags" w:element="stockticker">
              <w:r w:rsidRPr="00CB6840">
                <w:rPr>
                  <w:lang w:val="en-US"/>
                </w:rPr>
                <w:t>GDP</w:t>
              </w:r>
            </w:smartTag>
            <w:r>
              <w:rPr>
                <w:lang w:val="en-US"/>
              </w:rPr>
              <w:t>, year 2013</w:t>
            </w:r>
            <w:r w:rsidRPr="00CB6840">
              <w:rPr>
                <w:lang w:val="en-US"/>
              </w:rPr>
              <w:t xml:space="preserve"> or latest available data; Puerto Rico, Dominican Republic, United Arab Emirates, and some African countries are estimated using regional or nearby country data. </w:t>
            </w:r>
          </w:p>
        </w:tc>
        <w:tc>
          <w:tcPr>
            <w:tcW w:w="600" w:type="pct"/>
            <w:vAlign w:val="center"/>
          </w:tcPr>
          <w:p w:rsidR="00FB0884" w:rsidRPr="00CB6840" w:rsidRDefault="00FB0884" w:rsidP="00FB0884">
            <w:pPr>
              <w:spacing w:after="0" w:line="240" w:lineRule="auto"/>
              <w:jc w:val="center"/>
              <w:rPr>
                <w:lang w:val="en-US"/>
              </w:rPr>
            </w:pPr>
            <w:r w:rsidRPr="00CB6840">
              <w:rPr>
                <w:lang w:val="en-US"/>
              </w:rPr>
              <w:t>UNESCO</w:t>
            </w:r>
          </w:p>
        </w:tc>
        <w:tc>
          <w:tcPr>
            <w:tcW w:w="1811" w:type="pct"/>
            <w:vAlign w:val="center"/>
          </w:tcPr>
          <w:p w:rsidR="00FB0884" w:rsidRPr="00CB6840" w:rsidRDefault="00FB0884" w:rsidP="00FB0884">
            <w:pPr>
              <w:spacing w:after="0" w:line="240" w:lineRule="auto"/>
              <w:jc w:val="center"/>
              <w:rPr>
                <w:lang w:val="en-US"/>
              </w:rPr>
            </w:pPr>
            <w:hyperlink r:id="rId34" w:history="1">
              <w:r w:rsidRPr="00CB6840">
                <w:rPr>
                  <w:rStyle w:val="Hyperlink"/>
                  <w:lang w:val="en-US"/>
                </w:rPr>
                <w:t>http://stats.uis.unesco.org/unesco/TableViewer/tableView.aspx?ReportId=2656</w:t>
              </w:r>
            </w:hyperlink>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Business Strategy</w:t>
            </w:r>
          </w:p>
        </w:tc>
        <w:tc>
          <w:tcPr>
            <w:tcW w:w="2000" w:type="pct"/>
          </w:tcPr>
          <w:p w:rsidR="00FB0884" w:rsidRPr="00CB6840" w:rsidRDefault="00FB0884" w:rsidP="00FB0884">
            <w:pPr>
              <w:spacing w:after="0" w:line="240" w:lineRule="auto"/>
              <w:jc w:val="both"/>
              <w:rPr>
                <w:lang w:val="en-US"/>
              </w:rPr>
            </w:pPr>
            <w:r w:rsidRPr="00CB6840">
              <w:rPr>
                <w:lang w:val="en-US"/>
              </w:rPr>
              <w:t>Refers to the ability of companies to pursue distinctive strategies, which involves differentiated positioning and innovative means of production and service delivery</w:t>
            </w:r>
          </w:p>
        </w:tc>
        <w:tc>
          <w:tcPr>
            <w:tcW w:w="600" w:type="pct"/>
            <w:vAlign w:val="center"/>
          </w:tcPr>
          <w:p w:rsidR="00FB0884" w:rsidRPr="00CB6840" w:rsidRDefault="00FB0884" w:rsidP="00FB0884">
            <w:pPr>
              <w:spacing w:after="0" w:line="240" w:lineRule="auto"/>
              <w:jc w:val="center"/>
              <w:rPr>
                <w:lang w:val="en-US"/>
              </w:rPr>
            </w:pPr>
            <w:r w:rsidRPr="00CB6840">
              <w:rPr>
                <w:lang w:val="en-US"/>
              </w:rPr>
              <w:t>World Economic Forum</w:t>
            </w:r>
          </w:p>
        </w:tc>
        <w:tc>
          <w:tcPr>
            <w:tcW w:w="1811" w:type="pct"/>
            <w:vAlign w:val="center"/>
          </w:tcPr>
          <w:p w:rsidR="00FB0884" w:rsidRPr="00CB6840" w:rsidRDefault="00FB0884" w:rsidP="00FB0884">
            <w:pPr>
              <w:spacing w:after="0" w:line="240" w:lineRule="auto"/>
              <w:jc w:val="center"/>
              <w:rPr>
                <w:lang w:val="en-US"/>
              </w:rPr>
            </w:pPr>
            <w:r w:rsidRPr="00CB6840">
              <w:rPr>
                <w:lang w:val="en-US"/>
              </w:rPr>
              <w:t>The Gl</w:t>
            </w:r>
            <w:r>
              <w:rPr>
                <w:lang w:val="en-US"/>
              </w:rPr>
              <w:t>obal Competitiveness Report 2014-2015</w:t>
            </w:r>
            <w:r w:rsidRPr="00CB6840">
              <w:rPr>
                <w:lang w:val="en-US"/>
              </w:rPr>
              <w:t>, p. 2</w:t>
            </w:r>
            <w:r>
              <w:rPr>
                <w:lang w:val="en-US"/>
              </w:rPr>
              <w:t>0</w:t>
            </w:r>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Globalization</w:t>
            </w:r>
          </w:p>
        </w:tc>
        <w:tc>
          <w:tcPr>
            <w:tcW w:w="2000" w:type="pct"/>
          </w:tcPr>
          <w:p w:rsidR="00FB0884" w:rsidRPr="00CB6840" w:rsidRDefault="00FB0884" w:rsidP="00FB0884">
            <w:pPr>
              <w:spacing w:after="0" w:line="240" w:lineRule="auto"/>
              <w:rPr>
                <w:lang w:val="en-US"/>
              </w:rPr>
            </w:pPr>
            <w:r w:rsidRPr="00CB6840">
              <w:rPr>
                <w:lang w:val="en-US"/>
              </w:rPr>
              <w:t xml:space="preserve">A part of the Globalization Index measuring the economic dimension of globalization. The variable involves the actual flows of trade, foreign direct investment, portfolio investment, and income payments to foreign nationals, as well as restrictions of hidden import barriers, mean tariff rate, taxes on international trade, and capital account restrictions. Data are from the 2013 report and based on the 2011 survey. </w:t>
            </w:r>
            <w:hyperlink r:id="rId35" w:history="1">
              <w:r w:rsidRPr="00CB6840">
                <w:rPr>
                  <w:rStyle w:val="Hyperlink"/>
                </w:rPr>
                <w:t>http://globalization.kof.ethz.ch/</w:t>
              </w:r>
            </w:hyperlink>
            <w:r w:rsidRPr="00CB6840">
              <w:t xml:space="preserve"> </w:t>
            </w:r>
          </w:p>
        </w:tc>
        <w:tc>
          <w:tcPr>
            <w:tcW w:w="600" w:type="pct"/>
            <w:vAlign w:val="center"/>
          </w:tcPr>
          <w:p w:rsidR="00FB0884" w:rsidRPr="00CB6840" w:rsidRDefault="00FB0884" w:rsidP="00FB0884">
            <w:pPr>
              <w:spacing w:after="0" w:line="240" w:lineRule="auto"/>
              <w:jc w:val="center"/>
              <w:rPr>
                <w:lang w:val="en-US"/>
              </w:rPr>
            </w:pPr>
            <w:smartTag w:uri="urn:schemas-microsoft-com:office:smarttags" w:element="stockticker">
              <w:r w:rsidRPr="00CB6840">
                <w:rPr>
                  <w:lang w:val="en-US"/>
                </w:rPr>
                <w:t>KOF</w:t>
              </w:r>
            </w:smartTag>
            <w:r w:rsidRPr="00CB6840">
              <w:rPr>
                <w:lang w:val="en-US"/>
              </w:rPr>
              <w:t xml:space="preserve"> Swiss Economic Institute</w:t>
            </w:r>
          </w:p>
        </w:tc>
        <w:tc>
          <w:tcPr>
            <w:tcW w:w="1811" w:type="pct"/>
            <w:vAlign w:val="center"/>
          </w:tcPr>
          <w:p w:rsidR="00FB0884" w:rsidRPr="00513184" w:rsidRDefault="00FB0884" w:rsidP="00FB0884">
            <w:pPr>
              <w:spacing w:after="0" w:line="240" w:lineRule="auto"/>
              <w:jc w:val="center"/>
              <w:rPr>
                <w:lang w:val="en-US"/>
              </w:rPr>
            </w:pPr>
            <w:proofErr w:type="spellStart"/>
            <w:r w:rsidRPr="00513184">
              <w:t>Dreher</w:t>
            </w:r>
            <w:proofErr w:type="spellEnd"/>
            <w:r w:rsidRPr="00513184">
              <w:t xml:space="preserve">, Axel (2006): </w:t>
            </w:r>
            <w:hyperlink r:id="rId36" w:history="1">
              <w:r w:rsidRPr="00513184">
                <w:rPr>
                  <w:rStyle w:val="Hyperlink"/>
                </w:rPr>
                <w:t>Does Globalization Affect Growth? Evidence from a new Index of Globalization</w:t>
              </w:r>
            </w:hyperlink>
            <w:r w:rsidRPr="00513184">
              <w:t xml:space="preserve">, </w:t>
            </w:r>
            <w:r w:rsidRPr="00513184">
              <w:rPr>
                <w:rStyle w:val="Emphasis"/>
              </w:rPr>
              <w:t>Applied Economics 38</w:t>
            </w:r>
            <w:r w:rsidRPr="00513184">
              <w:t>, 10: 1091-1110.</w:t>
            </w:r>
          </w:p>
        </w:tc>
      </w:tr>
      <w:tr w:rsidR="00FB0884" w:rsidRPr="00CB6840" w:rsidTr="00FB0884">
        <w:trPr>
          <w:trHeight w:val="144"/>
          <w:jc w:val="center"/>
        </w:trPr>
        <w:tc>
          <w:tcPr>
            <w:tcW w:w="588" w:type="pct"/>
            <w:vAlign w:val="center"/>
          </w:tcPr>
          <w:p w:rsidR="00FB0884" w:rsidRPr="00CB6840" w:rsidRDefault="00FB0884" w:rsidP="00FB0884">
            <w:pPr>
              <w:spacing w:after="0" w:line="240" w:lineRule="auto"/>
              <w:rPr>
                <w:lang w:val="en-US"/>
              </w:rPr>
            </w:pPr>
            <w:r w:rsidRPr="00CB6840">
              <w:rPr>
                <w:lang w:val="en-US"/>
              </w:rPr>
              <w:t>Depth of Capital Market</w:t>
            </w:r>
          </w:p>
        </w:tc>
        <w:tc>
          <w:tcPr>
            <w:tcW w:w="2000" w:type="pct"/>
          </w:tcPr>
          <w:p w:rsidR="00FB0884" w:rsidRPr="00CB6840" w:rsidRDefault="00FB0884" w:rsidP="00FB0884">
            <w:pPr>
              <w:spacing w:after="0" w:line="240" w:lineRule="auto"/>
              <w:jc w:val="both"/>
              <w:rPr>
                <w:lang w:val="en-US"/>
              </w:rPr>
            </w:pPr>
            <w:r w:rsidRPr="00CB6840">
              <w:rPr>
                <w:lang w:val="en-US"/>
              </w:rPr>
              <w:t>The depth of capital market is one of the six sub-indices of the Venture Capital and Private Equity Index. This variable is a complex measure of the size and liquidity of the stock market, level of IPO, M&amp;A, and debt and credit market activity. Note that there were some methodolo</w:t>
            </w:r>
            <w:r>
              <w:rPr>
                <w:lang w:val="en-US"/>
              </w:rPr>
              <w:t>gical changes over the 2006-2014</w:t>
            </w:r>
            <w:r w:rsidRPr="00CB6840">
              <w:rPr>
                <w:lang w:val="en-US"/>
              </w:rPr>
              <w:t xml:space="preserve"> time </w:t>
            </w:r>
            <w:proofErr w:type="gramStart"/>
            <w:r w:rsidRPr="00CB6840">
              <w:rPr>
                <w:lang w:val="en-US"/>
              </w:rPr>
              <w:t>period</w:t>
            </w:r>
            <w:proofErr w:type="gramEnd"/>
            <w:r w:rsidRPr="00CB6840">
              <w:rPr>
                <w:lang w:val="en-US"/>
              </w:rPr>
              <w:t>, so comparison to previous years is not perfect. The dataset is provided by Alexander Groh.*</w:t>
            </w:r>
          </w:p>
          <w:p w:rsidR="00FB0884" w:rsidRPr="00CB6840" w:rsidRDefault="00FB0884" w:rsidP="00FB0884">
            <w:pPr>
              <w:spacing w:after="0" w:line="240" w:lineRule="auto"/>
              <w:jc w:val="both"/>
              <w:rPr>
                <w:b/>
                <w:lang w:val="en-US"/>
              </w:rPr>
            </w:pPr>
            <w:r w:rsidRPr="00CB6840">
              <w:rPr>
                <w:lang w:val="en-US"/>
              </w:rPr>
              <w:t>For missing data nearby country data used. For countries having estimated individual data, DCM data are the same way as it is in the case of individual variables (see Table 2 last column)</w:t>
            </w:r>
          </w:p>
        </w:tc>
        <w:tc>
          <w:tcPr>
            <w:tcW w:w="600" w:type="pct"/>
          </w:tcPr>
          <w:p w:rsidR="00FB0884" w:rsidRPr="00CB6840" w:rsidRDefault="00FB0884" w:rsidP="00FB0884">
            <w:pPr>
              <w:autoSpaceDE w:val="0"/>
              <w:autoSpaceDN w:val="0"/>
              <w:adjustRightInd w:val="0"/>
              <w:spacing w:after="0" w:line="240" w:lineRule="auto"/>
              <w:jc w:val="center"/>
              <w:rPr>
                <w:lang w:val="en-US"/>
              </w:rPr>
            </w:pPr>
            <w:r w:rsidRPr="00CB6840">
              <w:rPr>
                <w:lang w:val="en-US"/>
              </w:rPr>
              <w:t>EMLYON Business School, France and IESE Business</w:t>
            </w:r>
          </w:p>
          <w:p w:rsidR="00FB0884" w:rsidRPr="00CB6840" w:rsidRDefault="00FB0884" w:rsidP="00FB0884">
            <w:pPr>
              <w:spacing w:after="0" w:line="240" w:lineRule="auto"/>
              <w:jc w:val="center"/>
              <w:rPr>
                <w:lang w:val="en-US"/>
              </w:rPr>
            </w:pPr>
            <w:r w:rsidRPr="00CB6840">
              <w:rPr>
                <w:lang w:val="en-US"/>
              </w:rPr>
              <w:t>School, Barcelona, Spain</w:t>
            </w:r>
          </w:p>
        </w:tc>
        <w:tc>
          <w:tcPr>
            <w:tcW w:w="1811" w:type="pct"/>
          </w:tcPr>
          <w:p w:rsidR="00FB0884" w:rsidRPr="00CB6840" w:rsidRDefault="00FB0884" w:rsidP="00FB0884">
            <w:pPr>
              <w:spacing w:after="0" w:line="240" w:lineRule="auto"/>
              <w:rPr>
                <w:lang w:val="en-US"/>
              </w:rPr>
            </w:pPr>
            <w:r>
              <w:rPr>
                <w:lang w:val="en-US"/>
              </w:rPr>
              <w:t>Groh et al (2012)</w:t>
            </w:r>
            <w:r w:rsidRPr="00CB6840">
              <w:rPr>
                <w:lang w:val="en-US"/>
              </w:rPr>
              <w:t xml:space="preserve"> </w:t>
            </w:r>
          </w:p>
        </w:tc>
      </w:tr>
    </w:tbl>
    <w:p w:rsidR="00FB0884" w:rsidRDefault="00FB0884" w:rsidP="00FB0884">
      <w:pPr>
        <w:rPr>
          <w:rFonts w:ascii="Times New Roman" w:hAnsi="Times New Roman"/>
          <w:lang w:val="en-US"/>
        </w:rPr>
      </w:pPr>
    </w:p>
    <w:p w:rsidR="00FB0884" w:rsidRPr="00550E6F" w:rsidRDefault="00FB0884" w:rsidP="00FB0884">
      <w:pPr>
        <w:rPr>
          <w:lang w:val="en-US"/>
        </w:rPr>
      </w:pPr>
      <w:r w:rsidRPr="00550E6F">
        <w:rPr>
          <w:lang w:val="en-US"/>
        </w:rPr>
        <w:t>*Special thanks for Alexander Groh and his team about the provision of the Depth of Capital Market data.</w:t>
      </w:r>
    </w:p>
    <w:p w:rsidR="009B1FD9" w:rsidRDefault="009B1FD9"/>
    <w:sectPr w:rsidR="009B1FD9" w:rsidSect="00FB0884">
      <w:footerReference w:type="default" r:id="rId37"/>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225" w:rsidRDefault="004B6225" w:rsidP="000523C7">
      <w:pPr>
        <w:spacing w:after="0" w:line="240" w:lineRule="auto"/>
      </w:pPr>
      <w:r>
        <w:separator/>
      </w:r>
    </w:p>
  </w:endnote>
  <w:endnote w:type="continuationSeparator" w:id="0">
    <w:p w:rsidR="004B6225" w:rsidRDefault="004B6225" w:rsidP="00052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Genev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TT3140cf031bO58623800">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641830"/>
      <w:docPartObj>
        <w:docPartGallery w:val="Page Numbers (Bottom of Page)"/>
        <w:docPartUnique/>
      </w:docPartObj>
    </w:sdtPr>
    <w:sdtEndPr>
      <w:rPr>
        <w:noProof/>
      </w:rPr>
    </w:sdtEndPr>
    <w:sdtContent>
      <w:p w:rsidR="00024C04" w:rsidRDefault="00024C04">
        <w:pPr>
          <w:pStyle w:val="Footer"/>
          <w:jc w:val="right"/>
        </w:pPr>
        <w:r>
          <w:fldChar w:fldCharType="begin"/>
        </w:r>
        <w:r>
          <w:instrText xml:space="preserve"> PAGE   \* MERGEFORMAT </w:instrText>
        </w:r>
        <w:r>
          <w:fldChar w:fldCharType="separate"/>
        </w:r>
        <w:r w:rsidR="006F63AA">
          <w:rPr>
            <w:noProof/>
          </w:rPr>
          <w:t>30</w:t>
        </w:r>
        <w:r>
          <w:rPr>
            <w:noProof/>
          </w:rPr>
          <w:fldChar w:fldCharType="end"/>
        </w:r>
      </w:p>
    </w:sdtContent>
  </w:sdt>
  <w:p w:rsidR="00024C04" w:rsidRDefault="00024C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C04" w:rsidRPr="00B55F7B" w:rsidRDefault="00024C04" w:rsidP="00B55F7B">
    <w:pPr>
      <w:tabs>
        <w:tab w:val="center" w:pos="4513"/>
        <w:tab w:val="right" w:pos="9026"/>
      </w:tabs>
      <w:spacing w:after="0" w:line="360" w:lineRule="auto"/>
      <w:rPr>
        <w:rFonts w:ascii="Arial" w:eastAsia="Times New Roman" w:hAnsi="Arial" w:cs="Arial"/>
        <w:b/>
        <w:color w:val="999999"/>
        <w:sz w:val="18"/>
        <w:szCs w:val="18"/>
        <w:lang w:val="en" w:eastAsia="en-GB"/>
      </w:rPr>
    </w:pPr>
    <w:r w:rsidRPr="00B55F7B">
      <w:rPr>
        <w:rFonts w:ascii="Arial" w:eastAsia="Times New Roman" w:hAnsi="Arial" w:cs="Arial"/>
        <w:b/>
        <w:color w:val="999999"/>
        <w:sz w:val="18"/>
        <w:szCs w:val="18"/>
        <w:lang w:val="en" w:eastAsia="en-GB"/>
      </w:rPr>
      <w:t>The place of useful learning</w:t>
    </w:r>
  </w:p>
  <w:p w:rsidR="00024C04" w:rsidRPr="00B55F7B" w:rsidRDefault="00024C04" w:rsidP="00B55F7B">
    <w:pPr>
      <w:tabs>
        <w:tab w:val="center" w:pos="4513"/>
        <w:tab w:val="right" w:pos="9026"/>
      </w:tabs>
      <w:spacing w:after="0" w:line="360" w:lineRule="auto"/>
      <w:rPr>
        <w:rFonts w:ascii="Calibri" w:eastAsia="Calibri" w:hAnsi="Calibri" w:cs="Times New Roman"/>
      </w:rPr>
    </w:pPr>
    <w:r w:rsidRPr="00B55F7B">
      <w:rPr>
        <w:rFonts w:ascii="Arial" w:eastAsia="Times New Roman" w:hAnsi="Arial" w:cs="Arial"/>
        <w:color w:val="999999"/>
        <w:sz w:val="18"/>
        <w:szCs w:val="18"/>
        <w:lang w:val="en" w:eastAsia="en-GB"/>
      </w:rPr>
      <w:t>The University of Strathclyde is a charitable body, registered in Scotland, number SC015263</w:t>
    </w:r>
  </w:p>
  <w:p w:rsidR="00024C04" w:rsidRDefault="00024C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389775"/>
      <w:docPartObj>
        <w:docPartGallery w:val="Page Numbers (Bottom of Page)"/>
        <w:docPartUnique/>
      </w:docPartObj>
    </w:sdtPr>
    <w:sdtEndPr>
      <w:rPr>
        <w:noProof/>
      </w:rPr>
    </w:sdtEndPr>
    <w:sdtContent>
      <w:p w:rsidR="00024C04" w:rsidRDefault="00024C04">
        <w:pPr>
          <w:pStyle w:val="Footer"/>
          <w:jc w:val="right"/>
        </w:pPr>
        <w:r>
          <w:fldChar w:fldCharType="begin"/>
        </w:r>
        <w:r>
          <w:instrText xml:space="preserve"> PAGE   \* MERGEFORMAT </w:instrText>
        </w:r>
        <w:r>
          <w:fldChar w:fldCharType="separate"/>
        </w:r>
        <w:r w:rsidR="006F63AA">
          <w:rPr>
            <w:noProof/>
          </w:rPr>
          <w:t>33</w:t>
        </w:r>
        <w:r>
          <w:rPr>
            <w:noProof/>
          </w:rPr>
          <w:fldChar w:fldCharType="end"/>
        </w:r>
      </w:p>
    </w:sdtContent>
  </w:sdt>
  <w:p w:rsidR="00024C04" w:rsidRDefault="00024C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225" w:rsidRDefault="004B6225" w:rsidP="000523C7">
      <w:pPr>
        <w:spacing w:after="0" w:line="240" w:lineRule="auto"/>
      </w:pPr>
      <w:r>
        <w:separator/>
      </w:r>
    </w:p>
  </w:footnote>
  <w:footnote w:type="continuationSeparator" w:id="0">
    <w:p w:rsidR="004B6225" w:rsidRDefault="004B6225" w:rsidP="000523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C04" w:rsidRDefault="00024C04">
    <w:pPr>
      <w:pStyle w:val="Header"/>
    </w:pPr>
    <w:r>
      <w:rPr>
        <w:noProof/>
        <w:lang w:eastAsia="en-GB"/>
      </w:rPr>
      <w:drawing>
        <wp:anchor distT="0" distB="0" distL="114300" distR="114300" simplePos="0" relativeHeight="251659264" behindDoc="1" locked="0" layoutInCell="1" allowOverlap="1" wp14:anchorId="660235A1" wp14:editId="7DD04A62">
          <wp:simplePos x="0" y="0"/>
          <wp:positionH relativeFrom="column">
            <wp:posOffset>-772795</wp:posOffset>
          </wp:positionH>
          <wp:positionV relativeFrom="paragraph">
            <wp:posOffset>-297180</wp:posOffset>
          </wp:positionV>
          <wp:extent cx="7581900" cy="1733394"/>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pla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369" cy="17323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C6919"/>
    <w:multiLevelType w:val="multilevel"/>
    <w:tmpl w:val="ED22B524"/>
    <w:lvl w:ilvl="0">
      <w:start w:val="8"/>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nsid w:val="19B30F59"/>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nsid w:val="228F0394"/>
    <w:multiLevelType w:val="hybridMultilevel"/>
    <w:tmpl w:val="C7244774"/>
    <w:lvl w:ilvl="0" w:tplc="040E0011">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nsid w:val="25EA2E8E"/>
    <w:multiLevelType w:val="hybridMultilevel"/>
    <w:tmpl w:val="8B4A172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
    <w:nsid w:val="2D0711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48E7B0B"/>
    <w:multiLevelType w:val="hybridMultilevel"/>
    <w:tmpl w:val="6B061D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38224125"/>
    <w:multiLevelType w:val="multilevel"/>
    <w:tmpl w:val="2B7EE4DE"/>
    <w:lvl w:ilvl="0">
      <w:start w:val="1"/>
      <w:numFmt w:val="bullet"/>
      <w:lvlText w:val=""/>
      <w:lvlJc w:val="left"/>
      <w:pPr>
        <w:ind w:left="720" w:hanging="55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C0668DC"/>
    <w:multiLevelType w:val="hybridMultilevel"/>
    <w:tmpl w:val="B032E87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
    <w:nsid w:val="3D2618AE"/>
    <w:multiLevelType w:val="hybridMultilevel"/>
    <w:tmpl w:val="467686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43C52042"/>
    <w:multiLevelType w:val="hybridMultilevel"/>
    <w:tmpl w:val="A26A385A"/>
    <w:lvl w:ilvl="0" w:tplc="C904531A">
      <w:start w:val="1"/>
      <w:numFmt w:val="decimal"/>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nsid w:val="45F45C88"/>
    <w:multiLevelType w:val="hybridMultilevel"/>
    <w:tmpl w:val="BDBEDC9A"/>
    <w:lvl w:ilvl="0" w:tplc="581EFF38">
      <w:start w:val="1"/>
      <w:numFmt w:val="bullet"/>
      <w:pStyle w:val="Enumeration"/>
      <w:lvlText w:val=""/>
      <w:lvlJc w:val="left"/>
      <w:pPr>
        <w:tabs>
          <w:tab w:val="num" w:pos="567"/>
        </w:tabs>
        <w:ind w:left="567" w:hanging="39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B33FE5"/>
    <w:multiLevelType w:val="hybridMultilevel"/>
    <w:tmpl w:val="D23CE44C"/>
    <w:lvl w:ilvl="0" w:tplc="563E0186">
      <w:start w:val="1"/>
      <w:numFmt w:val="bullet"/>
      <w:lvlText w:val="-"/>
      <w:lvlJc w:val="left"/>
      <w:pPr>
        <w:ind w:left="360" w:hanging="360"/>
      </w:pPr>
      <w:rPr>
        <w:rFonts w:ascii="Calibri" w:eastAsia="ヒラギノ角ゴ Pro W3"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7F063AB"/>
    <w:multiLevelType w:val="hybridMultilevel"/>
    <w:tmpl w:val="C932321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3">
    <w:nsid w:val="57F811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9F30A1C"/>
    <w:multiLevelType w:val="hybridMultilevel"/>
    <w:tmpl w:val="43D0D9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ACB69E7"/>
    <w:multiLevelType w:val="multilevel"/>
    <w:tmpl w:val="16B2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2563AA"/>
    <w:multiLevelType w:val="hybridMultilevel"/>
    <w:tmpl w:val="C86430EC"/>
    <w:lvl w:ilvl="0" w:tplc="79FE8612">
      <w:start w:val="12"/>
      <w:numFmt w:val="bullet"/>
      <w:lvlText w:val="-"/>
      <w:lvlJc w:val="left"/>
      <w:pPr>
        <w:ind w:left="720" w:hanging="360"/>
      </w:pPr>
      <w:rPr>
        <w:rFonts w:ascii="Calibri" w:eastAsia="ヒラギノ角ゴ Pro W3"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0A2EFE"/>
    <w:multiLevelType w:val="hybridMultilevel"/>
    <w:tmpl w:val="262475F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685129CB"/>
    <w:multiLevelType w:val="hybridMultilevel"/>
    <w:tmpl w:val="4E08FC0E"/>
    <w:lvl w:ilvl="0" w:tplc="49E0A708">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7320E0"/>
    <w:multiLevelType w:val="hybridMultilevel"/>
    <w:tmpl w:val="9CBA0B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D0205DB"/>
    <w:multiLevelType w:val="multilevel"/>
    <w:tmpl w:val="09CC46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DE80466"/>
    <w:multiLevelType w:val="hybridMultilevel"/>
    <w:tmpl w:val="A2DAF59E"/>
    <w:lvl w:ilvl="0" w:tplc="A6EAD9BA">
      <w:numFmt w:val="bullet"/>
      <w:lvlText w:val="•"/>
      <w:lvlJc w:val="left"/>
      <w:pPr>
        <w:ind w:left="1068" w:hanging="360"/>
      </w:pPr>
      <w:rPr>
        <w:rFonts w:ascii="Verdana" w:eastAsiaTheme="minorEastAsia" w:hAnsi="Verdana" w:cstheme="minorBidi"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nsid w:val="7E3C25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F4260FE"/>
    <w:multiLevelType w:val="multilevel"/>
    <w:tmpl w:val="4712E6DA"/>
    <w:lvl w:ilvl="0">
      <w:start w:val="1"/>
      <w:numFmt w:val="bullet"/>
      <w:lvlText w:val=""/>
      <w:lvlJc w:val="left"/>
      <w:pPr>
        <w:tabs>
          <w:tab w:val="num" w:pos="567"/>
        </w:tabs>
        <w:ind w:left="56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22"/>
  </w:num>
  <w:num w:numId="4">
    <w:abstractNumId w:val="1"/>
  </w:num>
  <w:num w:numId="5">
    <w:abstractNumId w:val="4"/>
  </w:num>
  <w:num w:numId="6">
    <w:abstractNumId w:val="18"/>
  </w:num>
  <w:num w:numId="7">
    <w:abstractNumId w:val="10"/>
  </w:num>
  <w:num w:numId="8">
    <w:abstractNumId w:val="20"/>
  </w:num>
  <w:num w:numId="9">
    <w:abstractNumId w:val="6"/>
  </w:num>
  <w:num w:numId="10">
    <w:abstractNumId w:val="23"/>
  </w:num>
  <w:num w:numId="11">
    <w:abstractNumId w:val="21"/>
  </w:num>
  <w:num w:numId="12">
    <w:abstractNumId w:val="16"/>
  </w:num>
  <w:num w:numId="13">
    <w:abstractNumId w:val="11"/>
  </w:num>
  <w:num w:numId="14">
    <w:abstractNumId w:val="19"/>
  </w:num>
  <w:num w:numId="15">
    <w:abstractNumId w:val="17"/>
  </w:num>
  <w:num w:numId="16">
    <w:abstractNumId w:val="5"/>
  </w:num>
  <w:num w:numId="17">
    <w:abstractNumId w:val="8"/>
  </w:num>
  <w:num w:numId="18">
    <w:abstractNumId w:val="3"/>
  </w:num>
  <w:num w:numId="19">
    <w:abstractNumId w:val="7"/>
  </w:num>
  <w:num w:numId="20">
    <w:abstractNumId w:val="9"/>
  </w:num>
  <w:num w:numId="21">
    <w:abstractNumId w:val="0"/>
  </w:num>
  <w:num w:numId="22">
    <w:abstractNumId w:val="15"/>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FD9"/>
    <w:rsid w:val="00024C04"/>
    <w:rsid w:val="000301F4"/>
    <w:rsid w:val="000523C7"/>
    <w:rsid w:val="00066A03"/>
    <w:rsid w:val="00071076"/>
    <w:rsid w:val="000C3F33"/>
    <w:rsid w:val="001A30C1"/>
    <w:rsid w:val="00207A04"/>
    <w:rsid w:val="0028189D"/>
    <w:rsid w:val="002D5EE2"/>
    <w:rsid w:val="00420C16"/>
    <w:rsid w:val="00421B7F"/>
    <w:rsid w:val="00425E24"/>
    <w:rsid w:val="00441491"/>
    <w:rsid w:val="004540F4"/>
    <w:rsid w:val="004574A5"/>
    <w:rsid w:val="004B6225"/>
    <w:rsid w:val="004F4726"/>
    <w:rsid w:val="00506165"/>
    <w:rsid w:val="00525E23"/>
    <w:rsid w:val="005366F8"/>
    <w:rsid w:val="00550E6F"/>
    <w:rsid w:val="00552F4D"/>
    <w:rsid w:val="00564B32"/>
    <w:rsid w:val="005C456A"/>
    <w:rsid w:val="005C7196"/>
    <w:rsid w:val="006112D1"/>
    <w:rsid w:val="006C24A7"/>
    <w:rsid w:val="006C7A6D"/>
    <w:rsid w:val="006E747A"/>
    <w:rsid w:val="006F63AA"/>
    <w:rsid w:val="007279DE"/>
    <w:rsid w:val="00734EC2"/>
    <w:rsid w:val="007A4EEE"/>
    <w:rsid w:val="0080408E"/>
    <w:rsid w:val="00813584"/>
    <w:rsid w:val="00824C36"/>
    <w:rsid w:val="00835E54"/>
    <w:rsid w:val="00861494"/>
    <w:rsid w:val="008744CB"/>
    <w:rsid w:val="00895C1D"/>
    <w:rsid w:val="008B3F88"/>
    <w:rsid w:val="009B1FD9"/>
    <w:rsid w:val="009C4CC0"/>
    <w:rsid w:val="009F2195"/>
    <w:rsid w:val="00A20884"/>
    <w:rsid w:val="00A733A7"/>
    <w:rsid w:val="00B55F7B"/>
    <w:rsid w:val="00B61E55"/>
    <w:rsid w:val="00CA3B5B"/>
    <w:rsid w:val="00CA667E"/>
    <w:rsid w:val="00CC0077"/>
    <w:rsid w:val="00E10208"/>
    <w:rsid w:val="00E33C4E"/>
    <w:rsid w:val="00EB7D89"/>
    <w:rsid w:val="00EE5DCA"/>
    <w:rsid w:val="00EE7007"/>
    <w:rsid w:val="00EF0034"/>
    <w:rsid w:val="00F0797F"/>
    <w:rsid w:val="00F27BD7"/>
    <w:rsid w:val="00F92037"/>
    <w:rsid w:val="00F97D30"/>
    <w:rsid w:val="00FB0884"/>
    <w:rsid w:val="00FD79E0"/>
    <w:rsid w:val="00FF1E31"/>
    <w:rsid w:val="00FF6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FD9"/>
    <w:pPr>
      <w:spacing w:after="160" w:line="259" w:lineRule="auto"/>
    </w:pPr>
  </w:style>
  <w:style w:type="paragraph" w:styleId="Heading1">
    <w:name w:val="heading 1"/>
    <w:aliases w:val="Heading"/>
    <w:basedOn w:val="Normal"/>
    <w:next w:val="Normal"/>
    <w:link w:val="Heading1Char"/>
    <w:uiPriority w:val="9"/>
    <w:qFormat/>
    <w:rsid w:val="00FB0884"/>
    <w:pPr>
      <w:keepNext/>
      <w:keepLines/>
      <w:spacing w:before="480" w:after="0" w:line="240" w:lineRule="exact"/>
      <w:outlineLvl w:val="0"/>
    </w:pPr>
    <w:rPr>
      <w:rFonts w:asciiTheme="majorHAnsi" w:eastAsiaTheme="majorEastAsia" w:hAnsiTheme="majorHAnsi" w:cstheme="majorBidi"/>
      <w:b/>
      <w:bCs/>
      <w:color w:val="365F91" w:themeColor="accent1" w:themeShade="BF"/>
      <w:sz w:val="28"/>
      <w:szCs w:val="28"/>
      <w:lang w:eastAsia="nl-NL"/>
    </w:rPr>
  </w:style>
  <w:style w:type="paragraph" w:styleId="Heading2">
    <w:name w:val="heading 2"/>
    <w:aliases w:val="Subheading1,REDI_I_ALCÍMSOR"/>
    <w:basedOn w:val="Normal"/>
    <w:next w:val="Normal"/>
    <w:link w:val="Heading2Char"/>
    <w:uiPriority w:val="9"/>
    <w:unhideWhenUsed/>
    <w:qFormat/>
    <w:rsid w:val="00FB0884"/>
    <w:pPr>
      <w:keepNext/>
      <w:suppressAutoHyphens/>
      <w:spacing w:before="60" w:after="60" w:line="336" w:lineRule="exact"/>
      <w:outlineLvl w:val="1"/>
    </w:pPr>
    <w:rPr>
      <w:rFonts w:ascii="Calibri" w:eastAsia="MS Gothic" w:hAnsi="Calibri" w:cs="Times New Roman"/>
      <w:b/>
      <w:bCs/>
      <w:color w:val="002087"/>
      <w:sz w:val="30"/>
      <w:szCs w:val="28"/>
      <w:lang w:eastAsia="nl-NL"/>
    </w:rPr>
  </w:style>
  <w:style w:type="paragraph" w:styleId="Heading3">
    <w:name w:val="heading 3"/>
    <w:aliases w:val="Subheading2"/>
    <w:basedOn w:val="Heading2"/>
    <w:next w:val="Normal"/>
    <w:link w:val="Heading3Char"/>
    <w:uiPriority w:val="9"/>
    <w:unhideWhenUsed/>
    <w:qFormat/>
    <w:rsid w:val="00FB0884"/>
    <w:pPr>
      <w:outlineLvl w:val="2"/>
    </w:pPr>
    <w:rPr>
      <w:sz w:val="26"/>
    </w:rPr>
  </w:style>
  <w:style w:type="paragraph" w:styleId="Heading4">
    <w:name w:val="heading 4"/>
    <w:aliases w:val="Subheading3"/>
    <w:basedOn w:val="Normal"/>
    <w:next w:val="Normal"/>
    <w:link w:val="Heading4Char"/>
    <w:uiPriority w:val="9"/>
    <w:unhideWhenUsed/>
    <w:qFormat/>
    <w:rsid w:val="00FB0884"/>
    <w:pPr>
      <w:spacing w:before="60" w:after="60" w:line="288" w:lineRule="exact"/>
      <w:outlineLvl w:val="3"/>
    </w:pPr>
    <w:rPr>
      <w:rFonts w:ascii="Calibri" w:eastAsia="MS Mincho" w:hAnsi="Calibri" w:cs="Times New Roman"/>
      <w:b/>
      <w:color w:val="002087"/>
      <w:szCs w:val="24"/>
      <w:lang w:eastAsia="nl-NL"/>
    </w:rPr>
  </w:style>
  <w:style w:type="paragraph" w:styleId="Heading5">
    <w:name w:val="heading 5"/>
    <w:basedOn w:val="Normal"/>
    <w:next w:val="Normal"/>
    <w:link w:val="Heading5Char"/>
    <w:uiPriority w:val="9"/>
    <w:unhideWhenUsed/>
    <w:rsid w:val="00FB0884"/>
    <w:pPr>
      <w:spacing w:before="240" w:after="60" w:line="240" w:lineRule="exact"/>
      <w:outlineLvl w:val="4"/>
    </w:pPr>
    <w:rPr>
      <w:rFonts w:ascii="Cambria" w:eastAsia="MS Mincho" w:hAnsi="Cambria" w:cs="Times New Roman"/>
      <w:b/>
      <w:bCs/>
      <w:i/>
      <w:iCs/>
      <w:sz w:val="26"/>
      <w:szCs w:val="26"/>
      <w:lang w:eastAsia="nl-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23C7"/>
    <w:pPr>
      <w:tabs>
        <w:tab w:val="center" w:pos="4513"/>
        <w:tab w:val="right" w:pos="9026"/>
      </w:tabs>
      <w:spacing w:after="0" w:line="240" w:lineRule="auto"/>
    </w:pPr>
  </w:style>
  <w:style w:type="character" w:customStyle="1" w:styleId="HeaderChar">
    <w:name w:val="Header Char"/>
    <w:basedOn w:val="DefaultParagraphFont"/>
    <w:link w:val="Header"/>
    <w:rsid w:val="000523C7"/>
  </w:style>
  <w:style w:type="paragraph" w:styleId="Footer">
    <w:name w:val="footer"/>
    <w:basedOn w:val="Normal"/>
    <w:link w:val="FooterChar"/>
    <w:uiPriority w:val="99"/>
    <w:unhideWhenUsed/>
    <w:rsid w:val="00052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3C7"/>
  </w:style>
  <w:style w:type="paragraph" w:styleId="BalloonText">
    <w:name w:val="Balloon Text"/>
    <w:basedOn w:val="Normal"/>
    <w:link w:val="BalloonTextChar"/>
    <w:uiPriority w:val="99"/>
    <w:semiHidden/>
    <w:unhideWhenUsed/>
    <w:rsid w:val="00506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165"/>
    <w:rPr>
      <w:rFonts w:ascii="Tahoma" w:hAnsi="Tahoma" w:cs="Tahoma"/>
      <w:sz w:val="16"/>
      <w:szCs w:val="16"/>
    </w:rPr>
  </w:style>
  <w:style w:type="character" w:customStyle="1" w:styleId="Heading1Char">
    <w:name w:val="Heading 1 Char"/>
    <w:aliases w:val="Heading Char"/>
    <w:basedOn w:val="DefaultParagraphFont"/>
    <w:link w:val="Heading1"/>
    <w:uiPriority w:val="9"/>
    <w:rsid w:val="00FB0884"/>
    <w:rPr>
      <w:rFonts w:asciiTheme="majorHAnsi" w:eastAsiaTheme="majorEastAsia" w:hAnsiTheme="majorHAnsi" w:cstheme="majorBidi"/>
      <w:b/>
      <w:bCs/>
      <w:color w:val="365F91" w:themeColor="accent1" w:themeShade="BF"/>
      <w:sz w:val="28"/>
      <w:szCs w:val="28"/>
      <w:lang w:eastAsia="nl-NL"/>
    </w:rPr>
  </w:style>
  <w:style w:type="character" w:customStyle="1" w:styleId="Heading2Char">
    <w:name w:val="Heading 2 Char"/>
    <w:aliases w:val="Subheading1 Char,REDI_I_ALCÍMSOR Char"/>
    <w:basedOn w:val="DefaultParagraphFont"/>
    <w:link w:val="Heading2"/>
    <w:uiPriority w:val="9"/>
    <w:rsid w:val="00FB0884"/>
    <w:rPr>
      <w:rFonts w:ascii="Calibri" w:eastAsia="MS Gothic" w:hAnsi="Calibri" w:cs="Times New Roman"/>
      <w:b/>
      <w:bCs/>
      <w:color w:val="002087"/>
      <w:sz w:val="30"/>
      <w:szCs w:val="28"/>
      <w:lang w:eastAsia="nl-NL"/>
    </w:rPr>
  </w:style>
  <w:style w:type="character" w:customStyle="1" w:styleId="Heading3Char">
    <w:name w:val="Heading 3 Char"/>
    <w:aliases w:val="Subheading2 Char"/>
    <w:basedOn w:val="DefaultParagraphFont"/>
    <w:link w:val="Heading3"/>
    <w:uiPriority w:val="9"/>
    <w:rsid w:val="00FB0884"/>
    <w:rPr>
      <w:rFonts w:ascii="Calibri" w:eastAsia="MS Gothic" w:hAnsi="Calibri" w:cs="Times New Roman"/>
      <w:b/>
      <w:bCs/>
      <w:color w:val="002087"/>
      <w:sz w:val="26"/>
      <w:szCs w:val="28"/>
      <w:lang w:eastAsia="nl-NL"/>
    </w:rPr>
  </w:style>
  <w:style w:type="character" w:customStyle="1" w:styleId="Heading4Char">
    <w:name w:val="Heading 4 Char"/>
    <w:aliases w:val="Subheading3 Char"/>
    <w:basedOn w:val="DefaultParagraphFont"/>
    <w:link w:val="Heading4"/>
    <w:uiPriority w:val="9"/>
    <w:rsid w:val="00FB0884"/>
    <w:rPr>
      <w:rFonts w:ascii="Calibri" w:eastAsia="MS Mincho" w:hAnsi="Calibri" w:cs="Times New Roman"/>
      <w:b/>
      <w:color w:val="002087"/>
      <w:szCs w:val="24"/>
      <w:lang w:eastAsia="nl-NL"/>
    </w:rPr>
  </w:style>
  <w:style w:type="character" w:customStyle="1" w:styleId="Heading5Char">
    <w:name w:val="Heading 5 Char"/>
    <w:basedOn w:val="DefaultParagraphFont"/>
    <w:link w:val="Heading5"/>
    <w:uiPriority w:val="9"/>
    <w:rsid w:val="00FB0884"/>
    <w:rPr>
      <w:rFonts w:ascii="Cambria" w:eastAsia="MS Mincho" w:hAnsi="Cambria" w:cs="Times New Roman"/>
      <w:b/>
      <w:bCs/>
      <w:i/>
      <w:iCs/>
      <w:sz w:val="26"/>
      <w:szCs w:val="26"/>
      <w:lang w:eastAsia="nl-NL"/>
    </w:rPr>
  </w:style>
  <w:style w:type="paragraph" w:styleId="ListParagraph">
    <w:name w:val="List Paragraph"/>
    <w:basedOn w:val="Normal"/>
    <w:uiPriority w:val="34"/>
    <w:qFormat/>
    <w:rsid w:val="00FB0884"/>
    <w:pPr>
      <w:spacing w:after="0" w:line="240" w:lineRule="exact"/>
      <w:ind w:left="720"/>
      <w:contextualSpacing/>
    </w:pPr>
    <w:rPr>
      <w:rFonts w:ascii="Calibri" w:eastAsia="MS Mincho" w:hAnsi="Calibri" w:cs="Times New Roman"/>
      <w:sz w:val="20"/>
      <w:szCs w:val="20"/>
      <w:lang w:eastAsia="nl-NL"/>
    </w:rPr>
  </w:style>
  <w:style w:type="paragraph" w:styleId="Title">
    <w:name w:val="Title"/>
    <w:basedOn w:val="Normal"/>
    <w:next w:val="Normal"/>
    <w:link w:val="TitleChar"/>
    <w:uiPriority w:val="10"/>
    <w:rsid w:val="00FB0884"/>
    <w:pPr>
      <w:pBdr>
        <w:bottom w:val="single" w:sz="8" w:space="4" w:color="4F81BD"/>
      </w:pBdr>
      <w:spacing w:after="300" w:line="240" w:lineRule="exact"/>
      <w:contextualSpacing/>
    </w:pPr>
    <w:rPr>
      <w:rFonts w:ascii="Calibri" w:eastAsia="MS Gothic" w:hAnsi="Calibri" w:cs="Times New Roman"/>
      <w:color w:val="17365D"/>
      <w:spacing w:val="5"/>
      <w:kern w:val="28"/>
      <w:sz w:val="52"/>
      <w:szCs w:val="52"/>
      <w:lang w:eastAsia="nl-NL"/>
    </w:rPr>
  </w:style>
  <w:style w:type="character" w:customStyle="1" w:styleId="TitleChar">
    <w:name w:val="Title Char"/>
    <w:basedOn w:val="DefaultParagraphFont"/>
    <w:link w:val="Title"/>
    <w:uiPriority w:val="10"/>
    <w:rsid w:val="00FB0884"/>
    <w:rPr>
      <w:rFonts w:ascii="Calibri" w:eastAsia="MS Gothic" w:hAnsi="Calibri" w:cs="Times New Roman"/>
      <w:color w:val="17365D"/>
      <w:spacing w:val="5"/>
      <w:kern w:val="28"/>
      <w:sz w:val="52"/>
      <w:szCs w:val="52"/>
      <w:lang w:eastAsia="nl-NL"/>
    </w:rPr>
  </w:style>
  <w:style w:type="paragraph" w:styleId="NoSpacing">
    <w:name w:val="No Spacing"/>
    <w:link w:val="NoSpacingChar"/>
    <w:uiPriority w:val="1"/>
    <w:qFormat/>
    <w:rsid w:val="00FB0884"/>
    <w:pPr>
      <w:spacing w:after="0" w:line="240" w:lineRule="auto"/>
    </w:pPr>
    <w:rPr>
      <w:rFonts w:ascii="Calibri" w:eastAsia="MS Mincho" w:hAnsi="Calibri" w:cs="Times New Roman"/>
      <w:sz w:val="20"/>
      <w:szCs w:val="20"/>
      <w:lang w:val="nl-NL" w:eastAsia="nl-NL"/>
    </w:rPr>
  </w:style>
  <w:style w:type="character" w:customStyle="1" w:styleId="NoSpacingChar">
    <w:name w:val="No Spacing Char"/>
    <w:link w:val="NoSpacing"/>
    <w:uiPriority w:val="1"/>
    <w:rsid w:val="00FB0884"/>
    <w:rPr>
      <w:rFonts w:ascii="Calibri" w:eastAsia="MS Mincho" w:hAnsi="Calibri" w:cs="Times New Roman"/>
      <w:sz w:val="20"/>
      <w:szCs w:val="20"/>
      <w:lang w:val="nl-NL" w:eastAsia="nl-NL"/>
    </w:rPr>
  </w:style>
  <w:style w:type="paragraph" w:customStyle="1" w:styleId="Basisalinea">
    <w:name w:val="[Basisalinea]"/>
    <w:basedOn w:val="Normal"/>
    <w:uiPriority w:val="99"/>
    <w:rsid w:val="00FB0884"/>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nl-NL"/>
    </w:rPr>
  </w:style>
  <w:style w:type="character" w:styleId="SubtleEmphasis">
    <w:name w:val="Subtle Emphasis"/>
    <w:uiPriority w:val="19"/>
    <w:rsid w:val="00FB0884"/>
    <w:rPr>
      <w:i/>
      <w:iCs/>
      <w:color w:val="808080"/>
    </w:rPr>
  </w:style>
  <w:style w:type="character" w:styleId="Emphasis">
    <w:name w:val="Emphasis"/>
    <w:uiPriority w:val="20"/>
    <w:qFormat/>
    <w:rsid w:val="00FB0884"/>
    <w:rPr>
      <w:i/>
      <w:iCs/>
    </w:rPr>
  </w:style>
  <w:style w:type="paragraph" w:styleId="Quote">
    <w:name w:val="Quote"/>
    <w:basedOn w:val="Normal"/>
    <w:next w:val="Normal"/>
    <w:link w:val="QuoteChar"/>
    <w:uiPriority w:val="29"/>
    <w:qFormat/>
    <w:rsid w:val="00FB0884"/>
    <w:pPr>
      <w:spacing w:after="0" w:line="240" w:lineRule="exact"/>
    </w:pPr>
    <w:rPr>
      <w:rFonts w:ascii="Calibri" w:eastAsia="MS Mincho" w:hAnsi="Calibri" w:cs="Times New Roman"/>
      <w:i/>
      <w:iCs/>
      <w:color w:val="000000"/>
      <w:sz w:val="20"/>
      <w:szCs w:val="20"/>
      <w:lang w:eastAsia="nl-NL"/>
    </w:rPr>
  </w:style>
  <w:style w:type="character" w:customStyle="1" w:styleId="QuoteChar">
    <w:name w:val="Quote Char"/>
    <w:basedOn w:val="DefaultParagraphFont"/>
    <w:link w:val="Quote"/>
    <w:uiPriority w:val="29"/>
    <w:rsid w:val="00FB0884"/>
    <w:rPr>
      <w:rFonts w:ascii="Calibri" w:eastAsia="MS Mincho" w:hAnsi="Calibri" w:cs="Times New Roman"/>
      <w:i/>
      <w:iCs/>
      <w:color w:val="000000"/>
      <w:sz w:val="20"/>
      <w:szCs w:val="20"/>
      <w:lang w:eastAsia="nl-NL"/>
    </w:rPr>
  </w:style>
  <w:style w:type="paragraph" w:customStyle="1" w:styleId="Introduction">
    <w:name w:val="Introduction"/>
    <w:basedOn w:val="Normal"/>
    <w:qFormat/>
    <w:rsid w:val="00FB0884"/>
    <w:pPr>
      <w:spacing w:before="100" w:beforeAutospacing="1" w:after="0" w:line="320" w:lineRule="exact"/>
      <w:contextualSpacing/>
    </w:pPr>
    <w:rPr>
      <w:rFonts w:ascii="Calibri" w:eastAsia="MS Mincho" w:hAnsi="Calibri" w:cs="Times New Roman"/>
      <w:sz w:val="26"/>
      <w:szCs w:val="20"/>
      <w:lang w:eastAsia="nl-NL"/>
    </w:rPr>
  </w:style>
  <w:style w:type="character" w:styleId="Hyperlink">
    <w:name w:val="Hyperlink"/>
    <w:uiPriority w:val="99"/>
    <w:unhideWhenUsed/>
    <w:rsid w:val="00FB0884"/>
    <w:rPr>
      <w:color w:val="0000FF"/>
      <w:u w:val="single"/>
    </w:rPr>
  </w:style>
  <w:style w:type="paragraph" w:customStyle="1" w:styleId="Enumeration">
    <w:name w:val="Enumeration"/>
    <w:basedOn w:val="Normal"/>
    <w:qFormat/>
    <w:rsid w:val="00FB0884"/>
    <w:pPr>
      <w:numPr>
        <w:numId w:val="7"/>
      </w:numPr>
      <w:spacing w:after="0" w:line="240" w:lineRule="exact"/>
    </w:pPr>
    <w:rPr>
      <w:rFonts w:ascii="Calibri" w:eastAsia="MS Mincho" w:hAnsi="Calibri" w:cs="Times New Roman"/>
      <w:sz w:val="20"/>
      <w:szCs w:val="20"/>
      <w:lang w:eastAsia="nl-NL"/>
    </w:rPr>
  </w:style>
  <w:style w:type="character" w:styleId="PageNumber">
    <w:name w:val="page number"/>
    <w:unhideWhenUsed/>
    <w:rsid w:val="00FB0884"/>
  </w:style>
  <w:style w:type="paragraph" w:styleId="TOC1">
    <w:name w:val="toc 1"/>
    <w:basedOn w:val="Normal"/>
    <w:next w:val="Normal"/>
    <w:autoRedefine/>
    <w:uiPriority w:val="39"/>
    <w:unhideWhenUsed/>
    <w:rsid w:val="00FB0884"/>
    <w:pPr>
      <w:spacing w:after="0" w:line="240" w:lineRule="exact"/>
    </w:pPr>
    <w:rPr>
      <w:rFonts w:ascii="Calibri" w:eastAsia="MS Mincho" w:hAnsi="Calibri" w:cs="Times New Roman"/>
      <w:sz w:val="20"/>
      <w:szCs w:val="20"/>
      <w:lang w:eastAsia="nl-NL"/>
    </w:rPr>
  </w:style>
  <w:style w:type="paragraph" w:styleId="TOC2">
    <w:name w:val="toc 2"/>
    <w:basedOn w:val="Normal"/>
    <w:next w:val="Normal"/>
    <w:autoRedefine/>
    <w:uiPriority w:val="39"/>
    <w:unhideWhenUsed/>
    <w:rsid w:val="00FB0884"/>
    <w:pPr>
      <w:tabs>
        <w:tab w:val="right" w:leader="dot" w:pos="9396"/>
      </w:tabs>
      <w:spacing w:after="0" w:line="240" w:lineRule="auto"/>
    </w:pPr>
    <w:rPr>
      <w:rFonts w:ascii="Calibri" w:eastAsia="MS Mincho" w:hAnsi="Calibri" w:cs="Times New Roman"/>
      <w:sz w:val="20"/>
      <w:szCs w:val="20"/>
      <w:lang w:eastAsia="nl-NL"/>
    </w:rPr>
  </w:style>
  <w:style w:type="paragraph" w:styleId="TOC3">
    <w:name w:val="toc 3"/>
    <w:basedOn w:val="Normal"/>
    <w:next w:val="Normal"/>
    <w:autoRedefine/>
    <w:uiPriority w:val="39"/>
    <w:unhideWhenUsed/>
    <w:rsid w:val="00FB0884"/>
    <w:pPr>
      <w:spacing w:after="0" w:line="240" w:lineRule="exact"/>
      <w:ind w:left="400"/>
    </w:pPr>
    <w:rPr>
      <w:rFonts w:ascii="Calibri" w:eastAsia="MS Mincho" w:hAnsi="Calibri" w:cs="Times New Roman"/>
      <w:sz w:val="20"/>
      <w:szCs w:val="20"/>
      <w:lang w:eastAsia="nl-NL"/>
    </w:rPr>
  </w:style>
  <w:style w:type="paragraph" w:styleId="TOC4">
    <w:name w:val="toc 4"/>
    <w:basedOn w:val="Normal"/>
    <w:next w:val="Normal"/>
    <w:autoRedefine/>
    <w:uiPriority w:val="39"/>
    <w:unhideWhenUsed/>
    <w:rsid w:val="00FB0884"/>
    <w:pPr>
      <w:spacing w:after="0" w:line="240" w:lineRule="exact"/>
      <w:ind w:left="600"/>
    </w:pPr>
    <w:rPr>
      <w:rFonts w:ascii="Calibri" w:eastAsia="MS Mincho" w:hAnsi="Calibri" w:cs="Times New Roman"/>
      <w:sz w:val="20"/>
      <w:szCs w:val="20"/>
      <w:lang w:eastAsia="nl-NL"/>
    </w:rPr>
  </w:style>
  <w:style w:type="paragraph" w:styleId="TOC5">
    <w:name w:val="toc 5"/>
    <w:basedOn w:val="Normal"/>
    <w:next w:val="Normal"/>
    <w:autoRedefine/>
    <w:uiPriority w:val="39"/>
    <w:unhideWhenUsed/>
    <w:rsid w:val="00FB0884"/>
    <w:pPr>
      <w:spacing w:after="0" w:line="240" w:lineRule="exact"/>
      <w:ind w:left="800"/>
    </w:pPr>
    <w:rPr>
      <w:rFonts w:ascii="Calibri" w:eastAsia="MS Mincho" w:hAnsi="Calibri" w:cs="Times New Roman"/>
      <w:sz w:val="20"/>
      <w:szCs w:val="20"/>
      <w:lang w:eastAsia="nl-NL"/>
    </w:rPr>
  </w:style>
  <w:style w:type="paragraph" w:styleId="TOC6">
    <w:name w:val="toc 6"/>
    <w:basedOn w:val="Normal"/>
    <w:next w:val="Normal"/>
    <w:autoRedefine/>
    <w:uiPriority w:val="39"/>
    <w:unhideWhenUsed/>
    <w:rsid w:val="00FB0884"/>
    <w:pPr>
      <w:spacing w:after="0" w:line="240" w:lineRule="exact"/>
      <w:ind w:left="1000"/>
    </w:pPr>
    <w:rPr>
      <w:rFonts w:ascii="Calibri" w:eastAsia="MS Mincho" w:hAnsi="Calibri" w:cs="Times New Roman"/>
      <w:sz w:val="20"/>
      <w:szCs w:val="20"/>
      <w:lang w:eastAsia="nl-NL"/>
    </w:rPr>
  </w:style>
  <w:style w:type="paragraph" w:styleId="TOC7">
    <w:name w:val="toc 7"/>
    <w:basedOn w:val="Normal"/>
    <w:next w:val="Normal"/>
    <w:autoRedefine/>
    <w:uiPriority w:val="39"/>
    <w:unhideWhenUsed/>
    <w:rsid w:val="00FB0884"/>
    <w:pPr>
      <w:spacing w:after="0" w:line="240" w:lineRule="exact"/>
      <w:ind w:left="1200"/>
    </w:pPr>
    <w:rPr>
      <w:rFonts w:ascii="Calibri" w:eastAsia="MS Mincho" w:hAnsi="Calibri" w:cs="Times New Roman"/>
      <w:sz w:val="20"/>
      <w:szCs w:val="20"/>
      <w:lang w:eastAsia="nl-NL"/>
    </w:rPr>
  </w:style>
  <w:style w:type="paragraph" w:styleId="TOC8">
    <w:name w:val="toc 8"/>
    <w:basedOn w:val="Normal"/>
    <w:next w:val="Normal"/>
    <w:autoRedefine/>
    <w:uiPriority w:val="39"/>
    <w:unhideWhenUsed/>
    <w:rsid w:val="00FB0884"/>
    <w:pPr>
      <w:spacing w:after="0" w:line="240" w:lineRule="exact"/>
      <w:ind w:left="1400"/>
    </w:pPr>
    <w:rPr>
      <w:rFonts w:ascii="Calibri" w:eastAsia="MS Mincho" w:hAnsi="Calibri" w:cs="Times New Roman"/>
      <w:sz w:val="20"/>
      <w:szCs w:val="20"/>
      <w:lang w:eastAsia="nl-NL"/>
    </w:rPr>
  </w:style>
  <w:style w:type="paragraph" w:styleId="TOC9">
    <w:name w:val="toc 9"/>
    <w:basedOn w:val="Normal"/>
    <w:next w:val="Normal"/>
    <w:autoRedefine/>
    <w:uiPriority w:val="39"/>
    <w:unhideWhenUsed/>
    <w:rsid w:val="00FB0884"/>
    <w:pPr>
      <w:spacing w:after="0" w:line="240" w:lineRule="exact"/>
      <w:ind w:left="1600"/>
    </w:pPr>
    <w:rPr>
      <w:rFonts w:ascii="Calibri" w:eastAsia="MS Mincho" w:hAnsi="Calibri" w:cs="Times New Roman"/>
      <w:sz w:val="20"/>
      <w:szCs w:val="20"/>
      <w:lang w:eastAsia="nl-NL"/>
    </w:rPr>
  </w:style>
  <w:style w:type="paragraph" w:customStyle="1" w:styleId="Kop3">
    <w:name w:val="Kop3"/>
    <w:basedOn w:val="Normal"/>
    <w:rsid w:val="00FB0884"/>
    <w:pPr>
      <w:spacing w:after="0" w:line="240" w:lineRule="exact"/>
    </w:pPr>
    <w:rPr>
      <w:rFonts w:ascii="Calibri" w:eastAsia="MS Mincho" w:hAnsi="Calibri" w:cs="Times New Roman"/>
      <w:sz w:val="20"/>
      <w:szCs w:val="20"/>
      <w:lang w:eastAsia="nl-NL"/>
    </w:rPr>
  </w:style>
  <w:style w:type="paragraph" w:customStyle="1" w:styleId="Stijl1">
    <w:name w:val="Stijl1"/>
    <w:basedOn w:val="Normal"/>
    <w:rsid w:val="00FB0884"/>
    <w:pPr>
      <w:spacing w:after="0" w:line="240" w:lineRule="exact"/>
    </w:pPr>
    <w:rPr>
      <w:rFonts w:asciiTheme="majorHAnsi" w:eastAsia="MS Mincho" w:hAnsiTheme="majorHAnsi" w:cs="Times New Roman"/>
      <w:sz w:val="20"/>
      <w:szCs w:val="20"/>
      <w:lang w:val="nl-NL" w:eastAsia="nl-NL"/>
    </w:rPr>
  </w:style>
  <w:style w:type="paragraph" w:customStyle="1" w:styleId="Vrijevorm">
    <w:name w:val="Vrije vorm"/>
    <w:rsid w:val="00FB0884"/>
    <w:pPr>
      <w:spacing w:after="0" w:line="240" w:lineRule="auto"/>
    </w:pPr>
    <w:rPr>
      <w:rFonts w:ascii="Helvetica" w:eastAsia="ヒラギノ角ゴ Pro W3" w:hAnsi="Helvetica" w:cs="Times New Roman"/>
      <w:color w:val="000000"/>
      <w:sz w:val="24"/>
      <w:szCs w:val="20"/>
      <w:lang w:val="nl-NL" w:eastAsia="nl-NL"/>
    </w:rPr>
  </w:style>
  <w:style w:type="paragraph" w:customStyle="1" w:styleId="frontpageSubheading">
    <w:name w:val="frontpage Subheading"/>
    <w:basedOn w:val="Normal"/>
    <w:qFormat/>
    <w:rsid w:val="00FB0884"/>
    <w:pPr>
      <w:spacing w:after="40" w:line="240" w:lineRule="exact"/>
    </w:pPr>
    <w:rPr>
      <w:rFonts w:ascii="Calibri" w:eastAsia="MS Mincho" w:hAnsi="Calibri" w:cs="Times New Roman"/>
      <w:b/>
      <w:color w:val="002087"/>
      <w:sz w:val="16"/>
      <w:szCs w:val="20"/>
      <w:lang w:val="en-US" w:eastAsia="nl-NL"/>
    </w:rPr>
  </w:style>
  <w:style w:type="paragraph" w:styleId="FootnoteText">
    <w:name w:val="footnote text"/>
    <w:aliases w:val="Schriftart: 9 pt,Schriftart: 10 pt,Schriftart: 8 pt,WB-Fußnotentext,fn,Footnotes,Footnote ak,FoodNote,ft,Footnote text,Footnote,Footnote Text Char1,Footnote Text Char Char,Footnote Text Char1 Char Char,Podrozdział"/>
    <w:basedOn w:val="Normal"/>
    <w:link w:val="FootnoteTextChar2"/>
    <w:uiPriority w:val="99"/>
    <w:rsid w:val="00FB0884"/>
    <w:pPr>
      <w:spacing w:after="200" w:line="276" w:lineRule="auto"/>
      <w:ind w:left="357" w:hanging="357"/>
      <w:jc w:val="both"/>
    </w:pPr>
    <w:rPr>
      <w:rFonts w:ascii="Calibri" w:eastAsiaTheme="minorEastAsia" w:hAnsi="Calibri"/>
      <w:color w:val="0F243E" w:themeColor="text2" w:themeShade="80"/>
      <w:sz w:val="24"/>
      <w:szCs w:val="24"/>
      <w:lang w:val="nl-NL" w:eastAsia="nl-NL"/>
    </w:rPr>
  </w:style>
  <w:style w:type="character" w:customStyle="1" w:styleId="FootnoteTextChar">
    <w:name w:val="Footnote Text Char"/>
    <w:basedOn w:val="DefaultParagraphFont"/>
    <w:uiPriority w:val="99"/>
    <w:semiHidden/>
    <w:rsid w:val="00FB0884"/>
    <w:rPr>
      <w:sz w:val="20"/>
      <w:szCs w:val="20"/>
    </w:rPr>
  </w:style>
  <w:style w:type="character" w:customStyle="1" w:styleId="FootnoteTextChar2">
    <w:name w:val="Footnote Text Char2"/>
    <w:aliases w:val="Schriftart: 9 pt Char,Schriftart: 10 pt Char,Schriftart: 8 pt Char,WB-Fußnotentext Char,fn Char,Footnotes Char,Footnote ak Char,Footnote Text Char Char1,FoodNote Char,ft Char,Footnote text Char,Footnote Char,Footnote Text Char1 Char"/>
    <w:basedOn w:val="DefaultParagraphFont"/>
    <w:link w:val="FootnoteText"/>
    <w:uiPriority w:val="99"/>
    <w:rsid w:val="00FB0884"/>
    <w:rPr>
      <w:rFonts w:ascii="Calibri" w:eastAsiaTheme="minorEastAsia" w:hAnsi="Calibri"/>
      <w:color w:val="0F243E" w:themeColor="text2" w:themeShade="80"/>
      <w:sz w:val="24"/>
      <w:szCs w:val="24"/>
      <w:lang w:val="nl-NL" w:eastAsia="nl-NL"/>
    </w:rPr>
  </w:style>
  <w:style w:type="paragraph" w:customStyle="1" w:styleId="Foottext">
    <w:name w:val="Foottext"/>
    <w:basedOn w:val="Footer"/>
    <w:qFormat/>
    <w:rsid w:val="00FB0884"/>
    <w:pPr>
      <w:tabs>
        <w:tab w:val="clear" w:pos="4513"/>
        <w:tab w:val="clear" w:pos="9026"/>
        <w:tab w:val="center" w:pos="4536"/>
        <w:tab w:val="right" w:pos="9072"/>
      </w:tabs>
      <w:ind w:left="284"/>
    </w:pPr>
    <w:rPr>
      <w:rFonts w:ascii="Calibri" w:eastAsia="MS Mincho" w:hAnsi="Calibri" w:cs="Times New Roman"/>
      <w:color w:val="000000" w:themeColor="text1"/>
      <w:sz w:val="20"/>
      <w:szCs w:val="20"/>
      <w:lang w:val="en-US" w:eastAsia="nl-NL"/>
    </w:rPr>
  </w:style>
  <w:style w:type="paragraph" w:customStyle="1" w:styleId="FigureHeading">
    <w:name w:val="Figure Heading"/>
    <w:basedOn w:val="Normal"/>
    <w:link w:val="FigureHeadingChar"/>
    <w:uiPriority w:val="99"/>
    <w:rsid w:val="00FB0884"/>
    <w:pPr>
      <w:keepNext/>
      <w:keepLines/>
      <w:suppressAutoHyphens/>
      <w:spacing w:before="480" w:after="240" w:line="240" w:lineRule="auto"/>
      <w:jc w:val="center"/>
    </w:pPr>
    <w:rPr>
      <w:rFonts w:ascii="Times New Roman" w:eastAsia="Times New Roman" w:hAnsi="Times New Roman" w:cs="Times New Roman"/>
      <w:b/>
      <w:sz w:val="24"/>
      <w:szCs w:val="24"/>
      <w:lang w:val="en-US"/>
    </w:rPr>
  </w:style>
  <w:style w:type="character" w:customStyle="1" w:styleId="FigureHeadingChar">
    <w:name w:val="Figure Heading Char"/>
    <w:link w:val="FigureHeading"/>
    <w:uiPriority w:val="99"/>
    <w:locked/>
    <w:rsid w:val="00FB0884"/>
    <w:rPr>
      <w:rFonts w:ascii="Times New Roman" w:eastAsia="Times New Roman" w:hAnsi="Times New Roman" w:cs="Times New Roman"/>
      <w:b/>
      <w:sz w:val="24"/>
      <w:szCs w:val="24"/>
      <w:lang w:val="en-US"/>
    </w:rPr>
  </w:style>
  <w:style w:type="character" w:customStyle="1" w:styleId="EndnoteTextChar">
    <w:name w:val="Endnote Text Char"/>
    <w:basedOn w:val="DefaultParagraphFont"/>
    <w:link w:val="EndnoteText"/>
    <w:semiHidden/>
    <w:rsid w:val="00FB0884"/>
    <w:rPr>
      <w:rFonts w:ascii="Calibri" w:eastAsia="Times New Roman" w:hAnsi="Calibri" w:cs="Times New Roman"/>
      <w:sz w:val="20"/>
      <w:szCs w:val="20"/>
      <w:lang w:val="en-US"/>
    </w:rPr>
  </w:style>
  <w:style w:type="paragraph" w:styleId="EndnoteText">
    <w:name w:val="endnote text"/>
    <w:basedOn w:val="Normal"/>
    <w:link w:val="EndnoteTextChar"/>
    <w:semiHidden/>
    <w:rsid w:val="00FB0884"/>
    <w:pPr>
      <w:spacing w:after="0" w:line="240" w:lineRule="auto"/>
    </w:pPr>
    <w:rPr>
      <w:rFonts w:ascii="Calibri" w:eastAsia="Times New Roman" w:hAnsi="Calibri" w:cs="Times New Roman"/>
      <w:sz w:val="20"/>
      <w:szCs w:val="20"/>
      <w:lang w:val="en-US"/>
    </w:rPr>
  </w:style>
  <w:style w:type="character" w:customStyle="1" w:styleId="EndnoteTextChar1">
    <w:name w:val="Endnote Text Char1"/>
    <w:basedOn w:val="DefaultParagraphFont"/>
    <w:uiPriority w:val="99"/>
    <w:semiHidden/>
    <w:rsid w:val="00FB0884"/>
    <w:rPr>
      <w:sz w:val="20"/>
      <w:szCs w:val="20"/>
    </w:rPr>
  </w:style>
  <w:style w:type="paragraph" w:customStyle="1" w:styleId="GEDIbooktablefigure">
    <w:name w:val="GEDI book table figure"/>
    <w:basedOn w:val="Normal"/>
    <w:qFormat/>
    <w:rsid w:val="00FB0884"/>
    <w:pPr>
      <w:spacing w:after="0" w:line="240" w:lineRule="auto"/>
    </w:pPr>
    <w:rPr>
      <w:rFonts w:asciiTheme="majorHAnsi" w:eastAsia="Times New Roman" w:hAnsiTheme="majorHAnsi" w:cs="Times New Roman"/>
      <w:b/>
      <w:lang w:val="en-US" w:eastAsia="hu-HU"/>
    </w:rPr>
  </w:style>
  <w:style w:type="paragraph" w:styleId="TableofFigures">
    <w:name w:val="table of figures"/>
    <w:basedOn w:val="Normal"/>
    <w:next w:val="Normal"/>
    <w:uiPriority w:val="99"/>
    <w:unhideWhenUsed/>
    <w:rsid w:val="00FB0884"/>
    <w:pPr>
      <w:spacing w:after="0" w:line="240" w:lineRule="exact"/>
    </w:pPr>
    <w:rPr>
      <w:rFonts w:ascii="Calibri" w:eastAsia="MS Mincho" w:hAnsi="Calibri" w:cs="Times New Roman"/>
      <w:sz w:val="20"/>
      <w:szCs w:val="20"/>
      <w:lang w:eastAsia="nl-NL"/>
    </w:rPr>
  </w:style>
  <w:style w:type="character" w:customStyle="1" w:styleId="CommentTextChar">
    <w:name w:val="Comment Text Char"/>
    <w:basedOn w:val="DefaultParagraphFont"/>
    <w:link w:val="CommentText"/>
    <w:uiPriority w:val="99"/>
    <w:semiHidden/>
    <w:rsid w:val="00FB0884"/>
    <w:rPr>
      <w:rFonts w:ascii="Calibri" w:eastAsia="MS Mincho" w:hAnsi="Calibri" w:cs="Times New Roman"/>
      <w:sz w:val="20"/>
      <w:szCs w:val="20"/>
      <w:lang w:eastAsia="nl-NL"/>
    </w:rPr>
  </w:style>
  <w:style w:type="paragraph" w:styleId="CommentText">
    <w:name w:val="annotation text"/>
    <w:basedOn w:val="Normal"/>
    <w:link w:val="CommentTextChar"/>
    <w:uiPriority w:val="99"/>
    <w:semiHidden/>
    <w:unhideWhenUsed/>
    <w:rsid w:val="00FB0884"/>
    <w:pPr>
      <w:spacing w:after="0" w:line="240" w:lineRule="auto"/>
    </w:pPr>
    <w:rPr>
      <w:rFonts w:ascii="Calibri" w:eastAsia="MS Mincho" w:hAnsi="Calibri" w:cs="Times New Roman"/>
      <w:sz w:val="20"/>
      <w:szCs w:val="20"/>
      <w:lang w:eastAsia="nl-NL"/>
    </w:rPr>
  </w:style>
  <w:style w:type="character" w:customStyle="1" w:styleId="CommentTextChar1">
    <w:name w:val="Comment Text Char1"/>
    <w:basedOn w:val="DefaultParagraphFont"/>
    <w:uiPriority w:val="99"/>
    <w:semiHidden/>
    <w:rsid w:val="00FB0884"/>
    <w:rPr>
      <w:sz w:val="20"/>
      <w:szCs w:val="20"/>
    </w:rPr>
  </w:style>
  <w:style w:type="character" w:customStyle="1" w:styleId="CommentSubjectChar">
    <w:name w:val="Comment Subject Char"/>
    <w:basedOn w:val="CommentTextChar"/>
    <w:link w:val="CommentSubject"/>
    <w:uiPriority w:val="99"/>
    <w:semiHidden/>
    <w:rsid w:val="00FB0884"/>
    <w:rPr>
      <w:rFonts w:ascii="Calibri" w:eastAsia="MS Mincho" w:hAnsi="Calibri" w:cs="Times New Roman"/>
      <w:b/>
      <w:bCs/>
      <w:sz w:val="20"/>
      <w:szCs w:val="20"/>
      <w:lang w:eastAsia="nl-NL"/>
    </w:rPr>
  </w:style>
  <w:style w:type="paragraph" w:styleId="CommentSubject">
    <w:name w:val="annotation subject"/>
    <w:basedOn w:val="CommentText"/>
    <w:next w:val="CommentText"/>
    <w:link w:val="CommentSubjectChar"/>
    <w:uiPriority w:val="99"/>
    <w:semiHidden/>
    <w:unhideWhenUsed/>
    <w:rsid w:val="00FB0884"/>
    <w:rPr>
      <w:b/>
      <w:bCs/>
    </w:rPr>
  </w:style>
  <w:style w:type="character" w:customStyle="1" w:styleId="CommentSubjectChar1">
    <w:name w:val="Comment Subject Char1"/>
    <w:basedOn w:val="CommentTextChar1"/>
    <w:uiPriority w:val="99"/>
    <w:semiHidden/>
    <w:rsid w:val="00FB0884"/>
    <w:rPr>
      <w:b/>
      <w:bCs/>
      <w:sz w:val="20"/>
      <w:szCs w:val="20"/>
    </w:rPr>
  </w:style>
  <w:style w:type="table" w:styleId="TableGrid">
    <w:name w:val="Table Grid"/>
    <w:basedOn w:val="TableNormal"/>
    <w:uiPriority w:val="59"/>
    <w:rsid w:val="00024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FD9"/>
    <w:pPr>
      <w:spacing w:after="160" w:line="259" w:lineRule="auto"/>
    </w:pPr>
  </w:style>
  <w:style w:type="paragraph" w:styleId="Heading1">
    <w:name w:val="heading 1"/>
    <w:aliases w:val="Heading"/>
    <w:basedOn w:val="Normal"/>
    <w:next w:val="Normal"/>
    <w:link w:val="Heading1Char"/>
    <w:uiPriority w:val="9"/>
    <w:qFormat/>
    <w:rsid w:val="00FB0884"/>
    <w:pPr>
      <w:keepNext/>
      <w:keepLines/>
      <w:spacing w:before="480" w:after="0" w:line="240" w:lineRule="exact"/>
      <w:outlineLvl w:val="0"/>
    </w:pPr>
    <w:rPr>
      <w:rFonts w:asciiTheme="majorHAnsi" w:eastAsiaTheme="majorEastAsia" w:hAnsiTheme="majorHAnsi" w:cstheme="majorBidi"/>
      <w:b/>
      <w:bCs/>
      <w:color w:val="365F91" w:themeColor="accent1" w:themeShade="BF"/>
      <w:sz w:val="28"/>
      <w:szCs w:val="28"/>
      <w:lang w:eastAsia="nl-NL"/>
    </w:rPr>
  </w:style>
  <w:style w:type="paragraph" w:styleId="Heading2">
    <w:name w:val="heading 2"/>
    <w:aliases w:val="Subheading1,REDI_I_ALCÍMSOR"/>
    <w:basedOn w:val="Normal"/>
    <w:next w:val="Normal"/>
    <w:link w:val="Heading2Char"/>
    <w:uiPriority w:val="9"/>
    <w:unhideWhenUsed/>
    <w:qFormat/>
    <w:rsid w:val="00FB0884"/>
    <w:pPr>
      <w:keepNext/>
      <w:suppressAutoHyphens/>
      <w:spacing w:before="60" w:after="60" w:line="336" w:lineRule="exact"/>
      <w:outlineLvl w:val="1"/>
    </w:pPr>
    <w:rPr>
      <w:rFonts w:ascii="Calibri" w:eastAsia="MS Gothic" w:hAnsi="Calibri" w:cs="Times New Roman"/>
      <w:b/>
      <w:bCs/>
      <w:color w:val="002087"/>
      <w:sz w:val="30"/>
      <w:szCs w:val="28"/>
      <w:lang w:eastAsia="nl-NL"/>
    </w:rPr>
  </w:style>
  <w:style w:type="paragraph" w:styleId="Heading3">
    <w:name w:val="heading 3"/>
    <w:aliases w:val="Subheading2"/>
    <w:basedOn w:val="Heading2"/>
    <w:next w:val="Normal"/>
    <w:link w:val="Heading3Char"/>
    <w:uiPriority w:val="9"/>
    <w:unhideWhenUsed/>
    <w:qFormat/>
    <w:rsid w:val="00FB0884"/>
    <w:pPr>
      <w:outlineLvl w:val="2"/>
    </w:pPr>
    <w:rPr>
      <w:sz w:val="26"/>
    </w:rPr>
  </w:style>
  <w:style w:type="paragraph" w:styleId="Heading4">
    <w:name w:val="heading 4"/>
    <w:aliases w:val="Subheading3"/>
    <w:basedOn w:val="Normal"/>
    <w:next w:val="Normal"/>
    <w:link w:val="Heading4Char"/>
    <w:uiPriority w:val="9"/>
    <w:unhideWhenUsed/>
    <w:qFormat/>
    <w:rsid w:val="00FB0884"/>
    <w:pPr>
      <w:spacing w:before="60" w:after="60" w:line="288" w:lineRule="exact"/>
      <w:outlineLvl w:val="3"/>
    </w:pPr>
    <w:rPr>
      <w:rFonts w:ascii="Calibri" w:eastAsia="MS Mincho" w:hAnsi="Calibri" w:cs="Times New Roman"/>
      <w:b/>
      <w:color w:val="002087"/>
      <w:szCs w:val="24"/>
      <w:lang w:eastAsia="nl-NL"/>
    </w:rPr>
  </w:style>
  <w:style w:type="paragraph" w:styleId="Heading5">
    <w:name w:val="heading 5"/>
    <w:basedOn w:val="Normal"/>
    <w:next w:val="Normal"/>
    <w:link w:val="Heading5Char"/>
    <w:uiPriority w:val="9"/>
    <w:unhideWhenUsed/>
    <w:rsid w:val="00FB0884"/>
    <w:pPr>
      <w:spacing w:before="240" w:after="60" w:line="240" w:lineRule="exact"/>
      <w:outlineLvl w:val="4"/>
    </w:pPr>
    <w:rPr>
      <w:rFonts w:ascii="Cambria" w:eastAsia="MS Mincho" w:hAnsi="Cambria" w:cs="Times New Roman"/>
      <w:b/>
      <w:bCs/>
      <w:i/>
      <w:iCs/>
      <w:sz w:val="26"/>
      <w:szCs w:val="26"/>
      <w:lang w:eastAsia="nl-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23C7"/>
    <w:pPr>
      <w:tabs>
        <w:tab w:val="center" w:pos="4513"/>
        <w:tab w:val="right" w:pos="9026"/>
      </w:tabs>
      <w:spacing w:after="0" w:line="240" w:lineRule="auto"/>
    </w:pPr>
  </w:style>
  <w:style w:type="character" w:customStyle="1" w:styleId="HeaderChar">
    <w:name w:val="Header Char"/>
    <w:basedOn w:val="DefaultParagraphFont"/>
    <w:link w:val="Header"/>
    <w:rsid w:val="000523C7"/>
  </w:style>
  <w:style w:type="paragraph" w:styleId="Footer">
    <w:name w:val="footer"/>
    <w:basedOn w:val="Normal"/>
    <w:link w:val="FooterChar"/>
    <w:uiPriority w:val="99"/>
    <w:unhideWhenUsed/>
    <w:rsid w:val="00052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3C7"/>
  </w:style>
  <w:style w:type="paragraph" w:styleId="BalloonText">
    <w:name w:val="Balloon Text"/>
    <w:basedOn w:val="Normal"/>
    <w:link w:val="BalloonTextChar"/>
    <w:uiPriority w:val="99"/>
    <w:semiHidden/>
    <w:unhideWhenUsed/>
    <w:rsid w:val="00506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165"/>
    <w:rPr>
      <w:rFonts w:ascii="Tahoma" w:hAnsi="Tahoma" w:cs="Tahoma"/>
      <w:sz w:val="16"/>
      <w:szCs w:val="16"/>
    </w:rPr>
  </w:style>
  <w:style w:type="character" w:customStyle="1" w:styleId="Heading1Char">
    <w:name w:val="Heading 1 Char"/>
    <w:aliases w:val="Heading Char"/>
    <w:basedOn w:val="DefaultParagraphFont"/>
    <w:link w:val="Heading1"/>
    <w:uiPriority w:val="9"/>
    <w:rsid w:val="00FB0884"/>
    <w:rPr>
      <w:rFonts w:asciiTheme="majorHAnsi" w:eastAsiaTheme="majorEastAsia" w:hAnsiTheme="majorHAnsi" w:cstheme="majorBidi"/>
      <w:b/>
      <w:bCs/>
      <w:color w:val="365F91" w:themeColor="accent1" w:themeShade="BF"/>
      <w:sz w:val="28"/>
      <w:szCs w:val="28"/>
      <w:lang w:eastAsia="nl-NL"/>
    </w:rPr>
  </w:style>
  <w:style w:type="character" w:customStyle="1" w:styleId="Heading2Char">
    <w:name w:val="Heading 2 Char"/>
    <w:aliases w:val="Subheading1 Char,REDI_I_ALCÍMSOR Char"/>
    <w:basedOn w:val="DefaultParagraphFont"/>
    <w:link w:val="Heading2"/>
    <w:uiPriority w:val="9"/>
    <w:rsid w:val="00FB0884"/>
    <w:rPr>
      <w:rFonts w:ascii="Calibri" w:eastAsia="MS Gothic" w:hAnsi="Calibri" w:cs="Times New Roman"/>
      <w:b/>
      <w:bCs/>
      <w:color w:val="002087"/>
      <w:sz w:val="30"/>
      <w:szCs w:val="28"/>
      <w:lang w:eastAsia="nl-NL"/>
    </w:rPr>
  </w:style>
  <w:style w:type="character" w:customStyle="1" w:styleId="Heading3Char">
    <w:name w:val="Heading 3 Char"/>
    <w:aliases w:val="Subheading2 Char"/>
    <w:basedOn w:val="DefaultParagraphFont"/>
    <w:link w:val="Heading3"/>
    <w:uiPriority w:val="9"/>
    <w:rsid w:val="00FB0884"/>
    <w:rPr>
      <w:rFonts w:ascii="Calibri" w:eastAsia="MS Gothic" w:hAnsi="Calibri" w:cs="Times New Roman"/>
      <w:b/>
      <w:bCs/>
      <w:color w:val="002087"/>
      <w:sz w:val="26"/>
      <w:szCs w:val="28"/>
      <w:lang w:eastAsia="nl-NL"/>
    </w:rPr>
  </w:style>
  <w:style w:type="character" w:customStyle="1" w:styleId="Heading4Char">
    <w:name w:val="Heading 4 Char"/>
    <w:aliases w:val="Subheading3 Char"/>
    <w:basedOn w:val="DefaultParagraphFont"/>
    <w:link w:val="Heading4"/>
    <w:uiPriority w:val="9"/>
    <w:rsid w:val="00FB0884"/>
    <w:rPr>
      <w:rFonts w:ascii="Calibri" w:eastAsia="MS Mincho" w:hAnsi="Calibri" w:cs="Times New Roman"/>
      <w:b/>
      <w:color w:val="002087"/>
      <w:szCs w:val="24"/>
      <w:lang w:eastAsia="nl-NL"/>
    </w:rPr>
  </w:style>
  <w:style w:type="character" w:customStyle="1" w:styleId="Heading5Char">
    <w:name w:val="Heading 5 Char"/>
    <w:basedOn w:val="DefaultParagraphFont"/>
    <w:link w:val="Heading5"/>
    <w:uiPriority w:val="9"/>
    <w:rsid w:val="00FB0884"/>
    <w:rPr>
      <w:rFonts w:ascii="Cambria" w:eastAsia="MS Mincho" w:hAnsi="Cambria" w:cs="Times New Roman"/>
      <w:b/>
      <w:bCs/>
      <w:i/>
      <w:iCs/>
      <w:sz w:val="26"/>
      <w:szCs w:val="26"/>
      <w:lang w:eastAsia="nl-NL"/>
    </w:rPr>
  </w:style>
  <w:style w:type="paragraph" w:styleId="ListParagraph">
    <w:name w:val="List Paragraph"/>
    <w:basedOn w:val="Normal"/>
    <w:uiPriority w:val="34"/>
    <w:qFormat/>
    <w:rsid w:val="00FB0884"/>
    <w:pPr>
      <w:spacing w:after="0" w:line="240" w:lineRule="exact"/>
      <w:ind w:left="720"/>
      <w:contextualSpacing/>
    </w:pPr>
    <w:rPr>
      <w:rFonts w:ascii="Calibri" w:eastAsia="MS Mincho" w:hAnsi="Calibri" w:cs="Times New Roman"/>
      <w:sz w:val="20"/>
      <w:szCs w:val="20"/>
      <w:lang w:eastAsia="nl-NL"/>
    </w:rPr>
  </w:style>
  <w:style w:type="paragraph" w:styleId="Title">
    <w:name w:val="Title"/>
    <w:basedOn w:val="Normal"/>
    <w:next w:val="Normal"/>
    <w:link w:val="TitleChar"/>
    <w:uiPriority w:val="10"/>
    <w:rsid w:val="00FB0884"/>
    <w:pPr>
      <w:pBdr>
        <w:bottom w:val="single" w:sz="8" w:space="4" w:color="4F81BD"/>
      </w:pBdr>
      <w:spacing w:after="300" w:line="240" w:lineRule="exact"/>
      <w:contextualSpacing/>
    </w:pPr>
    <w:rPr>
      <w:rFonts w:ascii="Calibri" w:eastAsia="MS Gothic" w:hAnsi="Calibri" w:cs="Times New Roman"/>
      <w:color w:val="17365D"/>
      <w:spacing w:val="5"/>
      <w:kern w:val="28"/>
      <w:sz w:val="52"/>
      <w:szCs w:val="52"/>
      <w:lang w:eastAsia="nl-NL"/>
    </w:rPr>
  </w:style>
  <w:style w:type="character" w:customStyle="1" w:styleId="TitleChar">
    <w:name w:val="Title Char"/>
    <w:basedOn w:val="DefaultParagraphFont"/>
    <w:link w:val="Title"/>
    <w:uiPriority w:val="10"/>
    <w:rsid w:val="00FB0884"/>
    <w:rPr>
      <w:rFonts w:ascii="Calibri" w:eastAsia="MS Gothic" w:hAnsi="Calibri" w:cs="Times New Roman"/>
      <w:color w:val="17365D"/>
      <w:spacing w:val="5"/>
      <w:kern w:val="28"/>
      <w:sz w:val="52"/>
      <w:szCs w:val="52"/>
      <w:lang w:eastAsia="nl-NL"/>
    </w:rPr>
  </w:style>
  <w:style w:type="paragraph" w:styleId="NoSpacing">
    <w:name w:val="No Spacing"/>
    <w:link w:val="NoSpacingChar"/>
    <w:uiPriority w:val="1"/>
    <w:qFormat/>
    <w:rsid w:val="00FB0884"/>
    <w:pPr>
      <w:spacing w:after="0" w:line="240" w:lineRule="auto"/>
    </w:pPr>
    <w:rPr>
      <w:rFonts w:ascii="Calibri" w:eastAsia="MS Mincho" w:hAnsi="Calibri" w:cs="Times New Roman"/>
      <w:sz w:val="20"/>
      <w:szCs w:val="20"/>
      <w:lang w:val="nl-NL" w:eastAsia="nl-NL"/>
    </w:rPr>
  </w:style>
  <w:style w:type="character" w:customStyle="1" w:styleId="NoSpacingChar">
    <w:name w:val="No Spacing Char"/>
    <w:link w:val="NoSpacing"/>
    <w:uiPriority w:val="1"/>
    <w:rsid w:val="00FB0884"/>
    <w:rPr>
      <w:rFonts w:ascii="Calibri" w:eastAsia="MS Mincho" w:hAnsi="Calibri" w:cs="Times New Roman"/>
      <w:sz w:val="20"/>
      <w:szCs w:val="20"/>
      <w:lang w:val="nl-NL" w:eastAsia="nl-NL"/>
    </w:rPr>
  </w:style>
  <w:style w:type="paragraph" w:customStyle="1" w:styleId="Basisalinea">
    <w:name w:val="[Basisalinea]"/>
    <w:basedOn w:val="Normal"/>
    <w:uiPriority w:val="99"/>
    <w:rsid w:val="00FB0884"/>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nl-NL"/>
    </w:rPr>
  </w:style>
  <w:style w:type="character" w:styleId="SubtleEmphasis">
    <w:name w:val="Subtle Emphasis"/>
    <w:uiPriority w:val="19"/>
    <w:rsid w:val="00FB0884"/>
    <w:rPr>
      <w:i/>
      <w:iCs/>
      <w:color w:val="808080"/>
    </w:rPr>
  </w:style>
  <w:style w:type="character" w:styleId="Emphasis">
    <w:name w:val="Emphasis"/>
    <w:uiPriority w:val="20"/>
    <w:qFormat/>
    <w:rsid w:val="00FB0884"/>
    <w:rPr>
      <w:i/>
      <w:iCs/>
    </w:rPr>
  </w:style>
  <w:style w:type="paragraph" w:styleId="Quote">
    <w:name w:val="Quote"/>
    <w:basedOn w:val="Normal"/>
    <w:next w:val="Normal"/>
    <w:link w:val="QuoteChar"/>
    <w:uiPriority w:val="29"/>
    <w:qFormat/>
    <w:rsid w:val="00FB0884"/>
    <w:pPr>
      <w:spacing w:after="0" w:line="240" w:lineRule="exact"/>
    </w:pPr>
    <w:rPr>
      <w:rFonts w:ascii="Calibri" w:eastAsia="MS Mincho" w:hAnsi="Calibri" w:cs="Times New Roman"/>
      <w:i/>
      <w:iCs/>
      <w:color w:val="000000"/>
      <w:sz w:val="20"/>
      <w:szCs w:val="20"/>
      <w:lang w:eastAsia="nl-NL"/>
    </w:rPr>
  </w:style>
  <w:style w:type="character" w:customStyle="1" w:styleId="QuoteChar">
    <w:name w:val="Quote Char"/>
    <w:basedOn w:val="DefaultParagraphFont"/>
    <w:link w:val="Quote"/>
    <w:uiPriority w:val="29"/>
    <w:rsid w:val="00FB0884"/>
    <w:rPr>
      <w:rFonts w:ascii="Calibri" w:eastAsia="MS Mincho" w:hAnsi="Calibri" w:cs="Times New Roman"/>
      <w:i/>
      <w:iCs/>
      <w:color w:val="000000"/>
      <w:sz w:val="20"/>
      <w:szCs w:val="20"/>
      <w:lang w:eastAsia="nl-NL"/>
    </w:rPr>
  </w:style>
  <w:style w:type="paragraph" w:customStyle="1" w:styleId="Introduction">
    <w:name w:val="Introduction"/>
    <w:basedOn w:val="Normal"/>
    <w:qFormat/>
    <w:rsid w:val="00FB0884"/>
    <w:pPr>
      <w:spacing w:before="100" w:beforeAutospacing="1" w:after="0" w:line="320" w:lineRule="exact"/>
      <w:contextualSpacing/>
    </w:pPr>
    <w:rPr>
      <w:rFonts w:ascii="Calibri" w:eastAsia="MS Mincho" w:hAnsi="Calibri" w:cs="Times New Roman"/>
      <w:sz w:val="26"/>
      <w:szCs w:val="20"/>
      <w:lang w:eastAsia="nl-NL"/>
    </w:rPr>
  </w:style>
  <w:style w:type="character" w:styleId="Hyperlink">
    <w:name w:val="Hyperlink"/>
    <w:uiPriority w:val="99"/>
    <w:unhideWhenUsed/>
    <w:rsid w:val="00FB0884"/>
    <w:rPr>
      <w:color w:val="0000FF"/>
      <w:u w:val="single"/>
    </w:rPr>
  </w:style>
  <w:style w:type="paragraph" w:customStyle="1" w:styleId="Enumeration">
    <w:name w:val="Enumeration"/>
    <w:basedOn w:val="Normal"/>
    <w:qFormat/>
    <w:rsid w:val="00FB0884"/>
    <w:pPr>
      <w:numPr>
        <w:numId w:val="7"/>
      </w:numPr>
      <w:spacing w:after="0" w:line="240" w:lineRule="exact"/>
    </w:pPr>
    <w:rPr>
      <w:rFonts w:ascii="Calibri" w:eastAsia="MS Mincho" w:hAnsi="Calibri" w:cs="Times New Roman"/>
      <w:sz w:val="20"/>
      <w:szCs w:val="20"/>
      <w:lang w:eastAsia="nl-NL"/>
    </w:rPr>
  </w:style>
  <w:style w:type="character" w:styleId="PageNumber">
    <w:name w:val="page number"/>
    <w:unhideWhenUsed/>
    <w:rsid w:val="00FB0884"/>
  </w:style>
  <w:style w:type="paragraph" w:styleId="TOC1">
    <w:name w:val="toc 1"/>
    <w:basedOn w:val="Normal"/>
    <w:next w:val="Normal"/>
    <w:autoRedefine/>
    <w:uiPriority w:val="39"/>
    <w:unhideWhenUsed/>
    <w:rsid w:val="00FB0884"/>
    <w:pPr>
      <w:spacing w:after="0" w:line="240" w:lineRule="exact"/>
    </w:pPr>
    <w:rPr>
      <w:rFonts w:ascii="Calibri" w:eastAsia="MS Mincho" w:hAnsi="Calibri" w:cs="Times New Roman"/>
      <w:sz w:val="20"/>
      <w:szCs w:val="20"/>
      <w:lang w:eastAsia="nl-NL"/>
    </w:rPr>
  </w:style>
  <w:style w:type="paragraph" w:styleId="TOC2">
    <w:name w:val="toc 2"/>
    <w:basedOn w:val="Normal"/>
    <w:next w:val="Normal"/>
    <w:autoRedefine/>
    <w:uiPriority w:val="39"/>
    <w:unhideWhenUsed/>
    <w:rsid w:val="00FB0884"/>
    <w:pPr>
      <w:tabs>
        <w:tab w:val="right" w:leader="dot" w:pos="9396"/>
      </w:tabs>
      <w:spacing w:after="0" w:line="240" w:lineRule="auto"/>
    </w:pPr>
    <w:rPr>
      <w:rFonts w:ascii="Calibri" w:eastAsia="MS Mincho" w:hAnsi="Calibri" w:cs="Times New Roman"/>
      <w:sz w:val="20"/>
      <w:szCs w:val="20"/>
      <w:lang w:eastAsia="nl-NL"/>
    </w:rPr>
  </w:style>
  <w:style w:type="paragraph" w:styleId="TOC3">
    <w:name w:val="toc 3"/>
    <w:basedOn w:val="Normal"/>
    <w:next w:val="Normal"/>
    <w:autoRedefine/>
    <w:uiPriority w:val="39"/>
    <w:unhideWhenUsed/>
    <w:rsid w:val="00FB0884"/>
    <w:pPr>
      <w:spacing w:after="0" w:line="240" w:lineRule="exact"/>
      <w:ind w:left="400"/>
    </w:pPr>
    <w:rPr>
      <w:rFonts w:ascii="Calibri" w:eastAsia="MS Mincho" w:hAnsi="Calibri" w:cs="Times New Roman"/>
      <w:sz w:val="20"/>
      <w:szCs w:val="20"/>
      <w:lang w:eastAsia="nl-NL"/>
    </w:rPr>
  </w:style>
  <w:style w:type="paragraph" w:styleId="TOC4">
    <w:name w:val="toc 4"/>
    <w:basedOn w:val="Normal"/>
    <w:next w:val="Normal"/>
    <w:autoRedefine/>
    <w:uiPriority w:val="39"/>
    <w:unhideWhenUsed/>
    <w:rsid w:val="00FB0884"/>
    <w:pPr>
      <w:spacing w:after="0" w:line="240" w:lineRule="exact"/>
      <w:ind w:left="600"/>
    </w:pPr>
    <w:rPr>
      <w:rFonts w:ascii="Calibri" w:eastAsia="MS Mincho" w:hAnsi="Calibri" w:cs="Times New Roman"/>
      <w:sz w:val="20"/>
      <w:szCs w:val="20"/>
      <w:lang w:eastAsia="nl-NL"/>
    </w:rPr>
  </w:style>
  <w:style w:type="paragraph" w:styleId="TOC5">
    <w:name w:val="toc 5"/>
    <w:basedOn w:val="Normal"/>
    <w:next w:val="Normal"/>
    <w:autoRedefine/>
    <w:uiPriority w:val="39"/>
    <w:unhideWhenUsed/>
    <w:rsid w:val="00FB0884"/>
    <w:pPr>
      <w:spacing w:after="0" w:line="240" w:lineRule="exact"/>
      <w:ind w:left="800"/>
    </w:pPr>
    <w:rPr>
      <w:rFonts w:ascii="Calibri" w:eastAsia="MS Mincho" w:hAnsi="Calibri" w:cs="Times New Roman"/>
      <w:sz w:val="20"/>
      <w:szCs w:val="20"/>
      <w:lang w:eastAsia="nl-NL"/>
    </w:rPr>
  </w:style>
  <w:style w:type="paragraph" w:styleId="TOC6">
    <w:name w:val="toc 6"/>
    <w:basedOn w:val="Normal"/>
    <w:next w:val="Normal"/>
    <w:autoRedefine/>
    <w:uiPriority w:val="39"/>
    <w:unhideWhenUsed/>
    <w:rsid w:val="00FB0884"/>
    <w:pPr>
      <w:spacing w:after="0" w:line="240" w:lineRule="exact"/>
      <w:ind w:left="1000"/>
    </w:pPr>
    <w:rPr>
      <w:rFonts w:ascii="Calibri" w:eastAsia="MS Mincho" w:hAnsi="Calibri" w:cs="Times New Roman"/>
      <w:sz w:val="20"/>
      <w:szCs w:val="20"/>
      <w:lang w:eastAsia="nl-NL"/>
    </w:rPr>
  </w:style>
  <w:style w:type="paragraph" w:styleId="TOC7">
    <w:name w:val="toc 7"/>
    <w:basedOn w:val="Normal"/>
    <w:next w:val="Normal"/>
    <w:autoRedefine/>
    <w:uiPriority w:val="39"/>
    <w:unhideWhenUsed/>
    <w:rsid w:val="00FB0884"/>
    <w:pPr>
      <w:spacing w:after="0" w:line="240" w:lineRule="exact"/>
      <w:ind w:left="1200"/>
    </w:pPr>
    <w:rPr>
      <w:rFonts w:ascii="Calibri" w:eastAsia="MS Mincho" w:hAnsi="Calibri" w:cs="Times New Roman"/>
      <w:sz w:val="20"/>
      <w:szCs w:val="20"/>
      <w:lang w:eastAsia="nl-NL"/>
    </w:rPr>
  </w:style>
  <w:style w:type="paragraph" w:styleId="TOC8">
    <w:name w:val="toc 8"/>
    <w:basedOn w:val="Normal"/>
    <w:next w:val="Normal"/>
    <w:autoRedefine/>
    <w:uiPriority w:val="39"/>
    <w:unhideWhenUsed/>
    <w:rsid w:val="00FB0884"/>
    <w:pPr>
      <w:spacing w:after="0" w:line="240" w:lineRule="exact"/>
      <w:ind w:left="1400"/>
    </w:pPr>
    <w:rPr>
      <w:rFonts w:ascii="Calibri" w:eastAsia="MS Mincho" w:hAnsi="Calibri" w:cs="Times New Roman"/>
      <w:sz w:val="20"/>
      <w:szCs w:val="20"/>
      <w:lang w:eastAsia="nl-NL"/>
    </w:rPr>
  </w:style>
  <w:style w:type="paragraph" w:styleId="TOC9">
    <w:name w:val="toc 9"/>
    <w:basedOn w:val="Normal"/>
    <w:next w:val="Normal"/>
    <w:autoRedefine/>
    <w:uiPriority w:val="39"/>
    <w:unhideWhenUsed/>
    <w:rsid w:val="00FB0884"/>
    <w:pPr>
      <w:spacing w:after="0" w:line="240" w:lineRule="exact"/>
      <w:ind w:left="1600"/>
    </w:pPr>
    <w:rPr>
      <w:rFonts w:ascii="Calibri" w:eastAsia="MS Mincho" w:hAnsi="Calibri" w:cs="Times New Roman"/>
      <w:sz w:val="20"/>
      <w:szCs w:val="20"/>
      <w:lang w:eastAsia="nl-NL"/>
    </w:rPr>
  </w:style>
  <w:style w:type="paragraph" w:customStyle="1" w:styleId="Kop3">
    <w:name w:val="Kop3"/>
    <w:basedOn w:val="Normal"/>
    <w:rsid w:val="00FB0884"/>
    <w:pPr>
      <w:spacing w:after="0" w:line="240" w:lineRule="exact"/>
    </w:pPr>
    <w:rPr>
      <w:rFonts w:ascii="Calibri" w:eastAsia="MS Mincho" w:hAnsi="Calibri" w:cs="Times New Roman"/>
      <w:sz w:val="20"/>
      <w:szCs w:val="20"/>
      <w:lang w:eastAsia="nl-NL"/>
    </w:rPr>
  </w:style>
  <w:style w:type="paragraph" w:customStyle="1" w:styleId="Stijl1">
    <w:name w:val="Stijl1"/>
    <w:basedOn w:val="Normal"/>
    <w:rsid w:val="00FB0884"/>
    <w:pPr>
      <w:spacing w:after="0" w:line="240" w:lineRule="exact"/>
    </w:pPr>
    <w:rPr>
      <w:rFonts w:asciiTheme="majorHAnsi" w:eastAsia="MS Mincho" w:hAnsiTheme="majorHAnsi" w:cs="Times New Roman"/>
      <w:sz w:val="20"/>
      <w:szCs w:val="20"/>
      <w:lang w:val="nl-NL" w:eastAsia="nl-NL"/>
    </w:rPr>
  </w:style>
  <w:style w:type="paragraph" w:customStyle="1" w:styleId="Vrijevorm">
    <w:name w:val="Vrije vorm"/>
    <w:rsid w:val="00FB0884"/>
    <w:pPr>
      <w:spacing w:after="0" w:line="240" w:lineRule="auto"/>
    </w:pPr>
    <w:rPr>
      <w:rFonts w:ascii="Helvetica" w:eastAsia="ヒラギノ角ゴ Pro W3" w:hAnsi="Helvetica" w:cs="Times New Roman"/>
      <w:color w:val="000000"/>
      <w:sz w:val="24"/>
      <w:szCs w:val="20"/>
      <w:lang w:val="nl-NL" w:eastAsia="nl-NL"/>
    </w:rPr>
  </w:style>
  <w:style w:type="paragraph" w:customStyle="1" w:styleId="frontpageSubheading">
    <w:name w:val="frontpage Subheading"/>
    <w:basedOn w:val="Normal"/>
    <w:qFormat/>
    <w:rsid w:val="00FB0884"/>
    <w:pPr>
      <w:spacing w:after="40" w:line="240" w:lineRule="exact"/>
    </w:pPr>
    <w:rPr>
      <w:rFonts w:ascii="Calibri" w:eastAsia="MS Mincho" w:hAnsi="Calibri" w:cs="Times New Roman"/>
      <w:b/>
      <w:color w:val="002087"/>
      <w:sz w:val="16"/>
      <w:szCs w:val="20"/>
      <w:lang w:val="en-US" w:eastAsia="nl-NL"/>
    </w:rPr>
  </w:style>
  <w:style w:type="paragraph" w:styleId="FootnoteText">
    <w:name w:val="footnote text"/>
    <w:aliases w:val="Schriftart: 9 pt,Schriftart: 10 pt,Schriftart: 8 pt,WB-Fußnotentext,fn,Footnotes,Footnote ak,FoodNote,ft,Footnote text,Footnote,Footnote Text Char1,Footnote Text Char Char,Footnote Text Char1 Char Char,Podrozdział"/>
    <w:basedOn w:val="Normal"/>
    <w:link w:val="FootnoteTextChar2"/>
    <w:uiPriority w:val="99"/>
    <w:rsid w:val="00FB0884"/>
    <w:pPr>
      <w:spacing w:after="200" w:line="276" w:lineRule="auto"/>
      <w:ind w:left="357" w:hanging="357"/>
      <w:jc w:val="both"/>
    </w:pPr>
    <w:rPr>
      <w:rFonts w:ascii="Calibri" w:eastAsiaTheme="minorEastAsia" w:hAnsi="Calibri"/>
      <w:color w:val="0F243E" w:themeColor="text2" w:themeShade="80"/>
      <w:sz w:val="24"/>
      <w:szCs w:val="24"/>
      <w:lang w:val="nl-NL" w:eastAsia="nl-NL"/>
    </w:rPr>
  </w:style>
  <w:style w:type="character" w:customStyle="1" w:styleId="FootnoteTextChar">
    <w:name w:val="Footnote Text Char"/>
    <w:basedOn w:val="DefaultParagraphFont"/>
    <w:uiPriority w:val="99"/>
    <w:semiHidden/>
    <w:rsid w:val="00FB0884"/>
    <w:rPr>
      <w:sz w:val="20"/>
      <w:szCs w:val="20"/>
    </w:rPr>
  </w:style>
  <w:style w:type="character" w:customStyle="1" w:styleId="FootnoteTextChar2">
    <w:name w:val="Footnote Text Char2"/>
    <w:aliases w:val="Schriftart: 9 pt Char,Schriftart: 10 pt Char,Schriftart: 8 pt Char,WB-Fußnotentext Char,fn Char,Footnotes Char,Footnote ak Char,Footnote Text Char Char1,FoodNote Char,ft Char,Footnote text Char,Footnote Char,Footnote Text Char1 Char"/>
    <w:basedOn w:val="DefaultParagraphFont"/>
    <w:link w:val="FootnoteText"/>
    <w:uiPriority w:val="99"/>
    <w:rsid w:val="00FB0884"/>
    <w:rPr>
      <w:rFonts w:ascii="Calibri" w:eastAsiaTheme="minorEastAsia" w:hAnsi="Calibri"/>
      <w:color w:val="0F243E" w:themeColor="text2" w:themeShade="80"/>
      <w:sz w:val="24"/>
      <w:szCs w:val="24"/>
      <w:lang w:val="nl-NL" w:eastAsia="nl-NL"/>
    </w:rPr>
  </w:style>
  <w:style w:type="paragraph" w:customStyle="1" w:styleId="Foottext">
    <w:name w:val="Foottext"/>
    <w:basedOn w:val="Footer"/>
    <w:qFormat/>
    <w:rsid w:val="00FB0884"/>
    <w:pPr>
      <w:tabs>
        <w:tab w:val="clear" w:pos="4513"/>
        <w:tab w:val="clear" w:pos="9026"/>
        <w:tab w:val="center" w:pos="4536"/>
        <w:tab w:val="right" w:pos="9072"/>
      </w:tabs>
      <w:ind w:left="284"/>
    </w:pPr>
    <w:rPr>
      <w:rFonts w:ascii="Calibri" w:eastAsia="MS Mincho" w:hAnsi="Calibri" w:cs="Times New Roman"/>
      <w:color w:val="000000" w:themeColor="text1"/>
      <w:sz w:val="20"/>
      <w:szCs w:val="20"/>
      <w:lang w:val="en-US" w:eastAsia="nl-NL"/>
    </w:rPr>
  </w:style>
  <w:style w:type="paragraph" w:customStyle="1" w:styleId="FigureHeading">
    <w:name w:val="Figure Heading"/>
    <w:basedOn w:val="Normal"/>
    <w:link w:val="FigureHeadingChar"/>
    <w:uiPriority w:val="99"/>
    <w:rsid w:val="00FB0884"/>
    <w:pPr>
      <w:keepNext/>
      <w:keepLines/>
      <w:suppressAutoHyphens/>
      <w:spacing w:before="480" w:after="240" w:line="240" w:lineRule="auto"/>
      <w:jc w:val="center"/>
    </w:pPr>
    <w:rPr>
      <w:rFonts w:ascii="Times New Roman" w:eastAsia="Times New Roman" w:hAnsi="Times New Roman" w:cs="Times New Roman"/>
      <w:b/>
      <w:sz w:val="24"/>
      <w:szCs w:val="24"/>
      <w:lang w:val="en-US"/>
    </w:rPr>
  </w:style>
  <w:style w:type="character" w:customStyle="1" w:styleId="FigureHeadingChar">
    <w:name w:val="Figure Heading Char"/>
    <w:link w:val="FigureHeading"/>
    <w:uiPriority w:val="99"/>
    <w:locked/>
    <w:rsid w:val="00FB0884"/>
    <w:rPr>
      <w:rFonts w:ascii="Times New Roman" w:eastAsia="Times New Roman" w:hAnsi="Times New Roman" w:cs="Times New Roman"/>
      <w:b/>
      <w:sz w:val="24"/>
      <w:szCs w:val="24"/>
      <w:lang w:val="en-US"/>
    </w:rPr>
  </w:style>
  <w:style w:type="character" w:customStyle="1" w:styleId="EndnoteTextChar">
    <w:name w:val="Endnote Text Char"/>
    <w:basedOn w:val="DefaultParagraphFont"/>
    <w:link w:val="EndnoteText"/>
    <w:semiHidden/>
    <w:rsid w:val="00FB0884"/>
    <w:rPr>
      <w:rFonts w:ascii="Calibri" w:eastAsia="Times New Roman" w:hAnsi="Calibri" w:cs="Times New Roman"/>
      <w:sz w:val="20"/>
      <w:szCs w:val="20"/>
      <w:lang w:val="en-US"/>
    </w:rPr>
  </w:style>
  <w:style w:type="paragraph" w:styleId="EndnoteText">
    <w:name w:val="endnote text"/>
    <w:basedOn w:val="Normal"/>
    <w:link w:val="EndnoteTextChar"/>
    <w:semiHidden/>
    <w:rsid w:val="00FB0884"/>
    <w:pPr>
      <w:spacing w:after="0" w:line="240" w:lineRule="auto"/>
    </w:pPr>
    <w:rPr>
      <w:rFonts w:ascii="Calibri" w:eastAsia="Times New Roman" w:hAnsi="Calibri" w:cs="Times New Roman"/>
      <w:sz w:val="20"/>
      <w:szCs w:val="20"/>
      <w:lang w:val="en-US"/>
    </w:rPr>
  </w:style>
  <w:style w:type="character" w:customStyle="1" w:styleId="EndnoteTextChar1">
    <w:name w:val="Endnote Text Char1"/>
    <w:basedOn w:val="DefaultParagraphFont"/>
    <w:uiPriority w:val="99"/>
    <w:semiHidden/>
    <w:rsid w:val="00FB0884"/>
    <w:rPr>
      <w:sz w:val="20"/>
      <w:szCs w:val="20"/>
    </w:rPr>
  </w:style>
  <w:style w:type="paragraph" w:customStyle="1" w:styleId="GEDIbooktablefigure">
    <w:name w:val="GEDI book table figure"/>
    <w:basedOn w:val="Normal"/>
    <w:qFormat/>
    <w:rsid w:val="00FB0884"/>
    <w:pPr>
      <w:spacing w:after="0" w:line="240" w:lineRule="auto"/>
    </w:pPr>
    <w:rPr>
      <w:rFonts w:asciiTheme="majorHAnsi" w:eastAsia="Times New Roman" w:hAnsiTheme="majorHAnsi" w:cs="Times New Roman"/>
      <w:b/>
      <w:lang w:val="en-US" w:eastAsia="hu-HU"/>
    </w:rPr>
  </w:style>
  <w:style w:type="paragraph" w:styleId="TableofFigures">
    <w:name w:val="table of figures"/>
    <w:basedOn w:val="Normal"/>
    <w:next w:val="Normal"/>
    <w:uiPriority w:val="99"/>
    <w:unhideWhenUsed/>
    <w:rsid w:val="00FB0884"/>
    <w:pPr>
      <w:spacing w:after="0" w:line="240" w:lineRule="exact"/>
    </w:pPr>
    <w:rPr>
      <w:rFonts w:ascii="Calibri" w:eastAsia="MS Mincho" w:hAnsi="Calibri" w:cs="Times New Roman"/>
      <w:sz w:val="20"/>
      <w:szCs w:val="20"/>
      <w:lang w:eastAsia="nl-NL"/>
    </w:rPr>
  </w:style>
  <w:style w:type="character" w:customStyle="1" w:styleId="CommentTextChar">
    <w:name w:val="Comment Text Char"/>
    <w:basedOn w:val="DefaultParagraphFont"/>
    <w:link w:val="CommentText"/>
    <w:uiPriority w:val="99"/>
    <w:semiHidden/>
    <w:rsid w:val="00FB0884"/>
    <w:rPr>
      <w:rFonts w:ascii="Calibri" w:eastAsia="MS Mincho" w:hAnsi="Calibri" w:cs="Times New Roman"/>
      <w:sz w:val="20"/>
      <w:szCs w:val="20"/>
      <w:lang w:eastAsia="nl-NL"/>
    </w:rPr>
  </w:style>
  <w:style w:type="paragraph" w:styleId="CommentText">
    <w:name w:val="annotation text"/>
    <w:basedOn w:val="Normal"/>
    <w:link w:val="CommentTextChar"/>
    <w:uiPriority w:val="99"/>
    <w:semiHidden/>
    <w:unhideWhenUsed/>
    <w:rsid w:val="00FB0884"/>
    <w:pPr>
      <w:spacing w:after="0" w:line="240" w:lineRule="auto"/>
    </w:pPr>
    <w:rPr>
      <w:rFonts w:ascii="Calibri" w:eastAsia="MS Mincho" w:hAnsi="Calibri" w:cs="Times New Roman"/>
      <w:sz w:val="20"/>
      <w:szCs w:val="20"/>
      <w:lang w:eastAsia="nl-NL"/>
    </w:rPr>
  </w:style>
  <w:style w:type="character" w:customStyle="1" w:styleId="CommentTextChar1">
    <w:name w:val="Comment Text Char1"/>
    <w:basedOn w:val="DefaultParagraphFont"/>
    <w:uiPriority w:val="99"/>
    <w:semiHidden/>
    <w:rsid w:val="00FB0884"/>
    <w:rPr>
      <w:sz w:val="20"/>
      <w:szCs w:val="20"/>
    </w:rPr>
  </w:style>
  <w:style w:type="character" w:customStyle="1" w:styleId="CommentSubjectChar">
    <w:name w:val="Comment Subject Char"/>
    <w:basedOn w:val="CommentTextChar"/>
    <w:link w:val="CommentSubject"/>
    <w:uiPriority w:val="99"/>
    <w:semiHidden/>
    <w:rsid w:val="00FB0884"/>
    <w:rPr>
      <w:rFonts w:ascii="Calibri" w:eastAsia="MS Mincho" w:hAnsi="Calibri" w:cs="Times New Roman"/>
      <w:b/>
      <w:bCs/>
      <w:sz w:val="20"/>
      <w:szCs w:val="20"/>
      <w:lang w:eastAsia="nl-NL"/>
    </w:rPr>
  </w:style>
  <w:style w:type="paragraph" w:styleId="CommentSubject">
    <w:name w:val="annotation subject"/>
    <w:basedOn w:val="CommentText"/>
    <w:next w:val="CommentText"/>
    <w:link w:val="CommentSubjectChar"/>
    <w:uiPriority w:val="99"/>
    <w:semiHidden/>
    <w:unhideWhenUsed/>
    <w:rsid w:val="00FB0884"/>
    <w:rPr>
      <w:b/>
      <w:bCs/>
    </w:rPr>
  </w:style>
  <w:style w:type="character" w:customStyle="1" w:styleId="CommentSubjectChar1">
    <w:name w:val="Comment Subject Char1"/>
    <w:basedOn w:val="CommentTextChar1"/>
    <w:uiPriority w:val="99"/>
    <w:semiHidden/>
    <w:rsid w:val="00FB0884"/>
    <w:rPr>
      <w:b/>
      <w:bCs/>
      <w:sz w:val="20"/>
      <w:szCs w:val="20"/>
    </w:rPr>
  </w:style>
  <w:style w:type="table" w:styleId="TableGrid">
    <w:name w:val="Table Grid"/>
    <w:basedOn w:val="TableNormal"/>
    <w:uiPriority w:val="59"/>
    <w:rsid w:val="00024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49577">
      <w:bodyDiv w:val="1"/>
      <w:marLeft w:val="0"/>
      <w:marRight w:val="0"/>
      <w:marTop w:val="0"/>
      <w:marBottom w:val="0"/>
      <w:divBdr>
        <w:top w:val="none" w:sz="0" w:space="0" w:color="auto"/>
        <w:left w:val="none" w:sz="0" w:space="0" w:color="auto"/>
        <w:bottom w:val="none" w:sz="0" w:space="0" w:color="auto"/>
        <w:right w:val="none" w:sz="0" w:space="0" w:color="auto"/>
      </w:divBdr>
    </w:div>
    <w:div w:id="928267753">
      <w:bodyDiv w:val="1"/>
      <w:marLeft w:val="0"/>
      <w:marRight w:val="0"/>
      <w:marTop w:val="0"/>
      <w:marBottom w:val="0"/>
      <w:divBdr>
        <w:top w:val="none" w:sz="0" w:space="0" w:color="auto"/>
        <w:left w:val="none" w:sz="0" w:space="0" w:color="auto"/>
        <w:bottom w:val="none" w:sz="0" w:space="0" w:color="auto"/>
        <w:right w:val="none" w:sz="0" w:space="0" w:color="auto"/>
      </w:divBdr>
    </w:div>
    <w:div w:id="161513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hyperlink" Target="http://stats.uis.unesco.org/unesco/TableViewer/tableView.aspx?ReportId=265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yperlink" Target="http://www.heritage.org/Index/pdf/Index09_Methodology.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hyperlink" Target="http://129.3.20.41/eps/dev/papers/0210/0210004.pdf"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footer" Target="footer1.xml"/><Relationship Id="rId35" Type="http://schemas.openxmlformats.org/officeDocument/2006/relationships/hyperlink" Target="http://globalization.kof.ethz.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8377</Words>
  <Characters>47833</Characters>
  <Application>Microsoft Office Word</Application>
  <DocSecurity>0</DocSecurity>
  <Lines>1292</Lines>
  <Paragraphs>791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Appendix 2 GEDI Methodology and Calculation of the Scores for Scotland </vt:lpstr>
      <vt:lpstr>    Appendix 2.3 Calculation of the Individual and Institutional variables scores</vt:lpstr>
    </vt:vector>
  </TitlesOfParts>
  <Company>____</Company>
  <LinksUpToDate>false</LinksUpToDate>
  <CharactersWithSpaces>55419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Levie</dc:creator>
  <cp:lastModifiedBy>Jonathan Levie</cp:lastModifiedBy>
  <cp:revision>2</cp:revision>
  <dcterms:created xsi:type="dcterms:W3CDTF">2017-10-17T22:06:00Z</dcterms:created>
  <dcterms:modified xsi:type="dcterms:W3CDTF">2017-10-17T22:06:00Z</dcterms:modified>
</cp:coreProperties>
</file>